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211"/>
        <w:gridCol w:w="4536"/>
        <w:gridCol w:w="4536"/>
      </w:tblGrid>
      <w:tr w:rsidR="00523D82" w:rsidRPr="009C18D6" w14:paraId="1CF16438" w14:textId="77777777" w:rsidTr="007E1D85">
        <w:tc>
          <w:tcPr>
            <w:tcW w:w="5211" w:type="dxa"/>
            <w:hideMark/>
          </w:tcPr>
          <w:p w14:paraId="6581DD49" w14:textId="77777777" w:rsidR="007E1D85" w:rsidRPr="008C5667" w:rsidRDefault="007E1D85" w:rsidP="0095249D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14:paraId="42132E09" w14:textId="77777777" w:rsidR="003C7A1B" w:rsidRPr="00372082" w:rsidRDefault="003C7A1B" w:rsidP="003C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372082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>УТВЕРЖДЕНА</w:t>
            </w:r>
          </w:p>
          <w:p w14:paraId="74D9D40D" w14:textId="77777777" w:rsidR="003C7A1B" w:rsidRPr="00372082" w:rsidRDefault="003C7A1B" w:rsidP="003C7A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Председателя </w:t>
            </w:r>
          </w:p>
          <w:p w14:paraId="63A8ED2F" w14:textId="3D7CCFA2" w:rsidR="003C7A1B" w:rsidRPr="00372082" w:rsidRDefault="003C7A1B" w:rsidP="003C7A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РГУ «Комитет </w:t>
            </w:r>
            <w:r w:rsidR="00774A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медицинского и фармацевтического </w:t>
            </w: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контроля </w:t>
            </w:r>
          </w:p>
          <w:p w14:paraId="62A004A8" w14:textId="77777777" w:rsidR="003C7A1B" w:rsidRPr="00372082" w:rsidRDefault="003C7A1B" w:rsidP="003C7A1B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37208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Министерства здравоохранения</w:t>
            </w:r>
            <w:r w:rsidRPr="00372082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14:paraId="2FDF800B" w14:textId="77777777" w:rsidR="003C7A1B" w:rsidRPr="00372082" w:rsidRDefault="003C7A1B" w:rsidP="003C7A1B">
            <w:pPr>
              <w:keepNext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208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Республики Казахстан»</w:t>
            </w:r>
          </w:p>
          <w:p w14:paraId="2C3FE5C3" w14:textId="78E819D4" w:rsidR="003C7A1B" w:rsidRPr="00372082" w:rsidRDefault="003C7A1B" w:rsidP="003C7A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FB42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</w:t>
            </w: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33681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FB421B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______</w:t>
            </w:r>
            <w:r w:rsidR="00F104C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33681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  <w:r w:rsidR="00FB421B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__</w:t>
            </w:r>
            <w:r w:rsidR="00F104C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14:paraId="2A5E336C" w14:textId="396F39FD" w:rsidR="00523D82" w:rsidRPr="009C18D6" w:rsidRDefault="003C7A1B" w:rsidP="00025E4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  <w:r w:rsidRPr="0033681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</w:t>
            </w:r>
            <w:r w:rsidR="00F104C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14:paraId="7AE777F1" w14:textId="77777777" w:rsidR="00523D82" w:rsidRPr="009C18D6" w:rsidRDefault="00D46B0B" w:rsidP="009524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9C18D6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3D82" w:rsidRPr="009C18D6" w14:paraId="62D9E276" w14:textId="77777777" w:rsidTr="007E1D85">
        <w:tc>
          <w:tcPr>
            <w:tcW w:w="5211" w:type="dxa"/>
          </w:tcPr>
          <w:p w14:paraId="739E81FF" w14:textId="77777777" w:rsidR="00523D82" w:rsidRPr="009C18D6" w:rsidRDefault="00523D82" w:rsidP="0095249D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22EE02AF" w14:textId="77777777" w:rsidR="00523D82" w:rsidRPr="009C18D6" w:rsidRDefault="00523D82" w:rsidP="0095249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1FE9AE8C" w14:textId="77777777" w:rsidR="00523D82" w:rsidRPr="009C18D6" w:rsidRDefault="00523D82" w:rsidP="0095249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</w:tbl>
    <w:p w14:paraId="5BD1AC25" w14:textId="77777777" w:rsidR="003662F1" w:rsidRPr="009C18D6" w:rsidRDefault="003662F1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5C5FB22" w14:textId="77777777" w:rsidR="00D76048" w:rsidRPr="009C18D6" w:rsidRDefault="00D76048" w:rsidP="00F665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по медицинскому применению</w:t>
      </w:r>
    </w:p>
    <w:p w14:paraId="67400C35" w14:textId="77777777" w:rsidR="00D76048" w:rsidRPr="009C18D6" w:rsidRDefault="00D76048" w:rsidP="00F665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лекарственного </w:t>
      </w:r>
      <w:r w:rsidR="007D0E84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препарата</w:t>
      </w:r>
      <w:r w:rsidR="00AE792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2C1660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AE792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исток-вкладыш)</w:t>
      </w:r>
    </w:p>
    <w:p w14:paraId="1F214AB0" w14:textId="77777777" w:rsidR="002C76D7" w:rsidRPr="009C18D6" w:rsidRDefault="002C76D7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B3AF7F6" w14:textId="77777777" w:rsidR="002C76D7" w:rsidRPr="009C18D6" w:rsidRDefault="00D76048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Торговое </w:t>
      </w:r>
      <w:r w:rsidR="00E55D6C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</w:t>
      </w:r>
      <w:r w:rsidR="00AE792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004770C9" w14:textId="6E06103C" w:rsidR="002C76D7" w:rsidRPr="00DF14CB" w:rsidRDefault="00213498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</w:pPr>
      <w:bookmarkStart w:id="0" w:name="_Hlk27560858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</w:t>
      </w:r>
      <w:r w:rsid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>АНИСТОР</w:t>
      </w:r>
      <w:r w:rsidR="00DF14CB" w:rsidRPr="00DF14CB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®</w:t>
      </w:r>
    </w:p>
    <w:bookmarkEnd w:id="0"/>
    <w:p w14:paraId="4FBE8F62" w14:textId="77777777" w:rsidR="00475635" w:rsidRPr="009C18D6" w:rsidRDefault="00475635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C8F7D91" w14:textId="77777777" w:rsidR="002C76D7" w:rsidRPr="009C18D6" w:rsidRDefault="00AE7922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Международное непатентованное название</w:t>
      </w:r>
    </w:p>
    <w:p w14:paraId="02DD8157" w14:textId="77777777" w:rsidR="007155C6" w:rsidRPr="005230C2" w:rsidRDefault="007155C6" w:rsidP="007155C6">
      <w:pPr>
        <w:autoSpaceDE w:val="0"/>
        <w:autoSpaceDN w:val="0"/>
        <w:spacing w:after="0" w:line="240" w:lineRule="auto"/>
        <w:jc w:val="both"/>
        <w:rPr>
          <w:rFonts w:ascii="Times New Roman" w:eastAsia="Batang" w:hAnsi="Times New Roman"/>
          <w:color w:val="000000"/>
          <w:sz w:val="28"/>
          <w:szCs w:val="28"/>
          <w:lang w:eastAsia="ru-RU"/>
        </w:rPr>
      </w:pPr>
      <w:proofErr w:type="spellStart"/>
      <w:r w:rsidRPr="005230C2">
        <w:rPr>
          <w:rFonts w:ascii="Times New Roman" w:eastAsia="Batang" w:hAnsi="Times New Roman"/>
          <w:color w:val="000000"/>
          <w:sz w:val="28"/>
          <w:szCs w:val="28"/>
          <w:lang w:eastAsia="ru-RU"/>
        </w:rPr>
        <w:t>Ламотриджин</w:t>
      </w:r>
      <w:proofErr w:type="spellEnd"/>
    </w:p>
    <w:p w14:paraId="76F3CA1F" w14:textId="77777777" w:rsidR="00475635" w:rsidRPr="009C18D6" w:rsidRDefault="00475635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9E0FDC" w14:textId="77777777" w:rsidR="00D76048" w:rsidRPr="009C18D6" w:rsidRDefault="002C76D7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Лекарственная форма, </w:t>
      </w:r>
      <w:r w:rsidR="00AE792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дозировка  </w:t>
      </w:r>
    </w:p>
    <w:p w14:paraId="27D3237F" w14:textId="377C437D" w:rsidR="00B01011" w:rsidRPr="00DF14CB" w:rsidRDefault="004531BB" w:rsidP="004531BB">
      <w:pPr>
        <w:pStyle w:val="ac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DF14C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Т</w:t>
      </w:r>
      <w:r w:rsidR="00213498" w:rsidRPr="0021349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аблетки</w:t>
      </w:r>
      <w:r w:rsid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DF14CB" w:rsidRPr="00DF14C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2</w:t>
      </w:r>
      <w:r w:rsidR="0021349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5</w:t>
      </w:r>
      <w:r w:rsidR="00475635" w:rsidRPr="00DF14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мг</w:t>
      </w:r>
      <w:r w:rsid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213498">
        <w:rPr>
          <w:rFonts w:ascii="Times New Roman" w:eastAsia="Times New Roman" w:hAnsi="Times New Roman"/>
          <w:bCs/>
          <w:sz w:val="28"/>
          <w:szCs w:val="28"/>
          <w:lang w:eastAsia="ru-RU"/>
        </w:rPr>
        <w:t>50 мг</w:t>
      </w:r>
      <w:r w:rsid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>, 100 мг</w:t>
      </w:r>
    </w:p>
    <w:p w14:paraId="6A0577EE" w14:textId="77777777" w:rsidR="00475635" w:rsidRPr="009C18D6" w:rsidRDefault="00475635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D6E506" w14:textId="77777777" w:rsidR="002C1660" w:rsidRPr="009C18D6" w:rsidRDefault="00AE7922" w:rsidP="009524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</w:pPr>
      <w:bookmarkStart w:id="1" w:name="OCRUncertain022"/>
      <w:r w:rsidRPr="009C18D6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>Фармакотерапевтическая</w:t>
      </w:r>
      <w:bookmarkEnd w:id="1"/>
      <w:r w:rsidRPr="009C18D6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группа</w:t>
      </w:r>
      <w:r w:rsidR="002C1660" w:rsidRPr="009C18D6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</w:t>
      </w:r>
    </w:p>
    <w:p w14:paraId="4360AA96" w14:textId="77777777" w:rsidR="007155C6" w:rsidRPr="007155C6" w:rsidRDefault="007155C6" w:rsidP="007155C6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iCs/>
          <w:color w:val="000000"/>
          <w:sz w:val="28"/>
          <w:szCs w:val="28"/>
        </w:rPr>
      </w:pPr>
      <w:r w:rsidRPr="007155C6">
        <w:rPr>
          <w:rFonts w:ascii="Times New Roman" w:hAnsi="Times New Roman"/>
          <w:iCs/>
          <w:color w:val="000000"/>
          <w:sz w:val="28"/>
          <w:szCs w:val="28"/>
        </w:rPr>
        <w:t xml:space="preserve">Нервная система. Противоэпилептические препараты. Противоэпилептические препараты другие. </w:t>
      </w:r>
      <w:proofErr w:type="spellStart"/>
      <w:r w:rsidRPr="007155C6">
        <w:rPr>
          <w:rFonts w:ascii="Times New Roman" w:hAnsi="Times New Roman"/>
          <w:iCs/>
          <w:color w:val="000000"/>
          <w:sz w:val="28"/>
          <w:szCs w:val="28"/>
        </w:rPr>
        <w:t>Ламотриджин</w:t>
      </w:r>
      <w:proofErr w:type="spellEnd"/>
      <w:r w:rsidRPr="007155C6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14:paraId="6E7D14D5" w14:textId="77777777" w:rsidR="007155C6" w:rsidRPr="007155C6" w:rsidRDefault="007155C6" w:rsidP="007155C6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iCs/>
          <w:color w:val="000000"/>
          <w:sz w:val="28"/>
          <w:szCs w:val="28"/>
        </w:rPr>
      </w:pPr>
      <w:r w:rsidRPr="007155C6">
        <w:rPr>
          <w:rFonts w:ascii="Times New Roman" w:hAnsi="Times New Roman"/>
          <w:iCs/>
          <w:color w:val="000000"/>
          <w:sz w:val="28"/>
          <w:szCs w:val="28"/>
        </w:rPr>
        <w:t>Код АТХ NO3AX09</w:t>
      </w:r>
    </w:p>
    <w:p w14:paraId="02051325" w14:textId="77777777" w:rsidR="002C76D7" w:rsidRPr="009C18D6" w:rsidRDefault="002C76D7" w:rsidP="0095249D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7BC35F4" w14:textId="77777777" w:rsidR="002C76D7" w:rsidRPr="009C18D6" w:rsidRDefault="005444B2" w:rsidP="0095249D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C18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Показания к применению</w:t>
      </w:r>
      <w:r w:rsidR="002C76D7" w:rsidRPr="009C18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F5D79BB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u w:val="single"/>
          <w:lang w:val="kk-KZ"/>
        </w:rPr>
      </w:pPr>
      <w:r w:rsidRPr="007155C6">
        <w:rPr>
          <w:rFonts w:ascii="Times New Roman" w:hAnsi="Times New Roman"/>
          <w:bCs/>
          <w:i/>
          <w:sz w:val="28"/>
          <w:szCs w:val="28"/>
          <w:u w:val="single"/>
          <w:lang w:val="kk-KZ"/>
        </w:rPr>
        <w:t>Эпилепсия</w:t>
      </w:r>
    </w:p>
    <w:p w14:paraId="0013DF91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7155C6">
        <w:rPr>
          <w:rFonts w:ascii="Times New Roman" w:hAnsi="Times New Roman"/>
          <w:bCs/>
          <w:i/>
          <w:sz w:val="28"/>
          <w:szCs w:val="28"/>
        </w:rPr>
        <w:t>Взрослые и подростки старше 13 лет:</w:t>
      </w:r>
    </w:p>
    <w:p w14:paraId="15746EFB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55C6">
        <w:rPr>
          <w:rFonts w:ascii="Times New Roman" w:hAnsi="Times New Roman"/>
          <w:bCs/>
          <w:sz w:val="28"/>
          <w:szCs w:val="28"/>
          <w:lang w:val="kk-KZ"/>
        </w:rPr>
        <w:t>- в качестве вспомогательной или монотерапии п</w:t>
      </w:r>
      <w:proofErr w:type="spellStart"/>
      <w:r w:rsidRPr="007155C6">
        <w:rPr>
          <w:rFonts w:ascii="Times New Roman" w:hAnsi="Times New Roman"/>
          <w:bCs/>
          <w:sz w:val="28"/>
          <w:szCs w:val="28"/>
        </w:rPr>
        <w:t>арциальных</w:t>
      </w:r>
      <w:proofErr w:type="spellEnd"/>
      <w:r w:rsidRPr="007155C6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7155C6">
        <w:rPr>
          <w:rFonts w:ascii="Times New Roman" w:hAnsi="Times New Roman"/>
          <w:bCs/>
          <w:sz w:val="28"/>
          <w:szCs w:val="28"/>
        </w:rPr>
        <w:t>генерализованных</w:t>
      </w:r>
      <w:proofErr w:type="spellEnd"/>
      <w:r w:rsidRPr="007155C6">
        <w:rPr>
          <w:rFonts w:ascii="Times New Roman" w:hAnsi="Times New Roman"/>
          <w:bCs/>
          <w:sz w:val="28"/>
          <w:szCs w:val="28"/>
        </w:rPr>
        <w:t xml:space="preserve"> приступов,  включая тонико-клонические судороги </w:t>
      </w:r>
    </w:p>
    <w:p w14:paraId="2ED25A98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55C6">
        <w:rPr>
          <w:rFonts w:ascii="Times New Roman" w:hAnsi="Times New Roman"/>
          <w:bCs/>
          <w:sz w:val="28"/>
          <w:szCs w:val="28"/>
        </w:rPr>
        <w:t xml:space="preserve">- </w:t>
      </w:r>
      <w:r w:rsidRPr="007155C6">
        <w:rPr>
          <w:rFonts w:ascii="Times New Roman" w:hAnsi="Times New Roman"/>
          <w:bCs/>
          <w:sz w:val="28"/>
          <w:szCs w:val="28"/>
          <w:lang w:val="kk-KZ"/>
        </w:rPr>
        <w:t xml:space="preserve">судороги, связанные с </w:t>
      </w:r>
      <w:r w:rsidRPr="007155C6">
        <w:rPr>
          <w:rFonts w:ascii="Times New Roman" w:hAnsi="Times New Roman"/>
          <w:bCs/>
          <w:sz w:val="28"/>
          <w:szCs w:val="28"/>
        </w:rPr>
        <w:t xml:space="preserve">синдромом </w:t>
      </w:r>
      <w:proofErr w:type="spellStart"/>
      <w:r w:rsidRPr="007155C6">
        <w:rPr>
          <w:rFonts w:ascii="Times New Roman" w:hAnsi="Times New Roman"/>
          <w:bCs/>
          <w:sz w:val="28"/>
          <w:szCs w:val="28"/>
        </w:rPr>
        <w:t>Леннокса-Гасто</w:t>
      </w:r>
      <w:proofErr w:type="spellEnd"/>
      <w:r w:rsidRPr="007155C6">
        <w:rPr>
          <w:rFonts w:ascii="Times New Roman" w:hAnsi="Times New Roman"/>
          <w:bCs/>
          <w:sz w:val="28"/>
          <w:szCs w:val="28"/>
        </w:rPr>
        <w:t>: в составе вспомогательной терапии, но также может использоваться в качестве начального противоэпилептического препарата (ПЭП).</w:t>
      </w:r>
    </w:p>
    <w:p w14:paraId="56EA3E52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7155C6">
        <w:rPr>
          <w:rFonts w:ascii="Times New Roman" w:hAnsi="Times New Roman"/>
          <w:bCs/>
          <w:i/>
          <w:sz w:val="28"/>
          <w:szCs w:val="28"/>
        </w:rPr>
        <w:t>Дети и подростки от 2 до 12 лет:</w:t>
      </w:r>
    </w:p>
    <w:p w14:paraId="7365B3E4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55C6">
        <w:rPr>
          <w:rFonts w:ascii="Times New Roman" w:hAnsi="Times New Roman"/>
          <w:bCs/>
          <w:sz w:val="28"/>
          <w:szCs w:val="28"/>
        </w:rPr>
        <w:t xml:space="preserve">- </w:t>
      </w:r>
      <w:r w:rsidRPr="007155C6">
        <w:rPr>
          <w:rFonts w:ascii="Times New Roman" w:hAnsi="Times New Roman"/>
          <w:bCs/>
          <w:sz w:val="28"/>
          <w:szCs w:val="28"/>
          <w:lang w:val="kk-KZ"/>
        </w:rPr>
        <w:t xml:space="preserve">в качестве вспомогательной </w:t>
      </w:r>
      <w:r w:rsidRPr="007155C6">
        <w:rPr>
          <w:rFonts w:ascii="Times New Roman" w:hAnsi="Times New Roman"/>
          <w:bCs/>
          <w:sz w:val="28"/>
          <w:szCs w:val="28"/>
        </w:rPr>
        <w:t xml:space="preserve">терапии </w:t>
      </w:r>
      <w:r w:rsidRPr="007155C6">
        <w:rPr>
          <w:rFonts w:ascii="Times New Roman" w:hAnsi="Times New Roman"/>
          <w:bCs/>
          <w:sz w:val="28"/>
          <w:szCs w:val="28"/>
          <w:lang w:val="kk-KZ"/>
        </w:rPr>
        <w:t>п</w:t>
      </w:r>
      <w:proofErr w:type="spellStart"/>
      <w:r w:rsidRPr="007155C6">
        <w:rPr>
          <w:rFonts w:ascii="Times New Roman" w:hAnsi="Times New Roman"/>
          <w:bCs/>
          <w:sz w:val="28"/>
          <w:szCs w:val="28"/>
        </w:rPr>
        <w:t>арциальных</w:t>
      </w:r>
      <w:proofErr w:type="spellEnd"/>
      <w:r w:rsidRPr="007155C6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7155C6">
        <w:rPr>
          <w:rFonts w:ascii="Times New Roman" w:hAnsi="Times New Roman"/>
          <w:bCs/>
          <w:sz w:val="28"/>
          <w:szCs w:val="28"/>
        </w:rPr>
        <w:t>генерализованных</w:t>
      </w:r>
      <w:proofErr w:type="spellEnd"/>
      <w:r w:rsidRPr="007155C6">
        <w:rPr>
          <w:rFonts w:ascii="Times New Roman" w:hAnsi="Times New Roman"/>
          <w:bCs/>
          <w:sz w:val="28"/>
          <w:szCs w:val="28"/>
        </w:rPr>
        <w:t xml:space="preserve"> эпилептических приступов,  включая тонико-клонические судороги и судороги, связанные с синдромом </w:t>
      </w:r>
      <w:proofErr w:type="spellStart"/>
      <w:r w:rsidRPr="007155C6">
        <w:rPr>
          <w:rFonts w:ascii="Times New Roman" w:hAnsi="Times New Roman"/>
          <w:bCs/>
          <w:sz w:val="28"/>
          <w:szCs w:val="28"/>
        </w:rPr>
        <w:t>Леннокса</w:t>
      </w:r>
      <w:proofErr w:type="spellEnd"/>
      <w:r w:rsidRPr="007155C6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7155C6">
        <w:rPr>
          <w:rFonts w:ascii="Times New Roman" w:hAnsi="Times New Roman"/>
          <w:bCs/>
          <w:sz w:val="28"/>
          <w:szCs w:val="28"/>
        </w:rPr>
        <w:t>Гасто</w:t>
      </w:r>
      <w:proofErr w:type="spellEnd"/>
      <w:r w:rsidRPr="007155C6">
        <w:rPr>
          <w:rFonts w:ascii="Times New Roman" w:hAnsi="Times New Roman"/>
          <w:bCs/>
          <w:sz w:val="28"/>
          <w:szCs w:val="28"/>
        </w:rPr>
        <w:t xml:space="preserve">. </w:t>
      </w:r>
    </w:p>
    <w:p w14:paraId="1FB32572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55C6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Pr="007155C6">
        <w:rPr>
          <w:rFonts w:ascii="Times New Roman" w:hAnsi="Times New Roman"/>
          <w:bCs/>
          <w:sz w:val="28"/>
          <w:szCs w:val="28"/>
        </w:rPr>
        <w:t>монотерапия</w:t>
      </w:r>
      <w:proofErr w:type="spellEnd"/>
      <w:r w:rsidRPr="007155C6">
        <w:rPr>
          <w:rFonts w:ascii="Times New Roman" w:hAnsi="Times New Roman"/>
          <w:bCs/>
          <w:sz w:val="28"/>
          <w:szCs w:val="28"/>
        </w:rPr>
        <w:t xml:space="preserve"> типичных </w:t>
      </w:r>
      <w:proofErr w:type="spellStart"/>
      <w:r w:rsidRPr="007155C6">
        <w:rPr>
          <w:rFonts w:ascii="Times New Roman" w:hAnsi="Times New Roman"/>
          <w:bCs/>
          <w:sz w:val="28"/>
          <w:szCs w:val="28"/>
        </w:rPr>
        <w:t>абсансов</w:t>
      </w:r>
      <w:proofErr w:type="spellEnd"/>
      <w:r w:rsidRPr="007155C6">
        <w:rPr>
          <w:rFonts w:ascii="Times New Roman" w:hAnsi="Times New Roman"/>
          <w:bCs/>
          <w:sz w:val="28"/>
          <w:szCs w:val="28"/>
        </w:rPr>
        <w:t xml:space="preserve"> </w:t>
      </w:r>
    </w:p>
    <w:p w14:paraId="36B04461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7155C6">
        <w:rPr>
          <w:rFonts w:ascii="Times New Roman" w:hAnsi="Times New Roman"/>
          <w:i/>
          <w:sz w:val="28"/>
          <w:szCs w:val="28"/>
          <w:u w:val="single"/>
        </w:rPr>
        <w:t>Биполярные расстройства</w:t>
      </w:r>
    </w:p>
    <w:p w14:paraId="233C1F6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7155C6">
        <w:rPr>
          <w:rFonts w:ascii="Times New Roman" w:hAnsi="Times New Roman"/>
          <w:bCs/>
          <w:i/>
          <w:sz w:val="28"/>
          <w:szCs w:val="28"/>
        </w:rPr>
        <w:t>Взрослые в возрасте от 18 лет</w:t>
      </w:r>
    </w:p>
    <w:p w14:paraId="548D3D9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55C6">
        <w:rPr>
          <w:rFonts w:ascii="Times New Roman" w:hAnsi="Times New Roman"/>
          <w:bCs/>
          <w:sz w:val="28"/>
          <w:szCs w:val="28"/>
        </w:rPr>
        <w:t>- профилактика депрессивных эпизодов у пациентов с биполярным расстройством, которые испытывают преимущественно депрессивные эпизоды.</w:t>
      </w:r>
    </w:p>
    <w:p w14:paraId="49805971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55C6">
        <w:rPr>
          <w:rFonts w:ascii="Times New Roman" w:hAnsi="Times New Roman"/>
          <w:bCs/>
          <w:sz w:val="28"/>
          <w:szCs w:val="28"/>
        </w:rPr>
        <w:lastRenderedPageBreak/>
        <w:t>ЛАНИСТОР</w:t>
      </w:r>
      <w:r w:rsidRPr="007155C6">
        <w:rPr>
          <w:rFonts w:ascii="Times New Roman" w:hAnsi="Times New Roman"/>
          <w:bCs/>
          <w:sz w:val="28"/>
          <w:szCs w:val="28"/>
          <w:vertAlign w:val="superscript"/>
        </w:rPr>
        <w:t xml:space="preserve">® </w:t>
      </w:r>
      <w:r w:rsidRPr="007155C6">
        <w:rPr>
          <w:rFonts w:ascii="Times New Roman" w:hAnsi="Times New Roman"/>
          <w:bCs/>
          <w:sz w:val="28"/>
          <w:szCs w:val="28"/>
        </w:rPr>
        <w:t>не показан для лечения острых маниакальных или депрессивных эпизодов.</w:t>
      </w:r>
    </w:p>
    <w:p w14:paraId="1799FD6C" w14:textId="77777777" w:rsidR="00DF14CB" w:rsidRPr="00DF14CB" w:rsidRDefault="00DF14CB" w:rsidP="00DF14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9BE8C9" w14:textId="77777777" w:rsidR="00DB406A" w:rsidRPr="009C18D6" w:rsidRDefault="00DB406A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сведений, н</w:t>
      </w:r>
      <w:r w:rsidR="00844CE8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еобходимых до начала применения</w:t>
      </w:r>
    </w:p>
    <w:p w14:paraId="3D3E249C" w14:textId="77777777" w:rsidR="007D0E84" w:rsidRPr="009C18D6" w:rsidRDefault="007D0E84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Противопоказания</w:t>
      </w:r>
    </w:p>
    <w:p w14:paraId="60CDB988" w14:textId="3372CCEA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155C6">
        <w:rPr>
          <w:rFonts w:ascii="Times New Roman" w:hAnsi="Times New Roman"/>
          <w:bCs/>
          <w:iCs/>
          <w:sz w:val="28"/>
          <w:szCs w:val="28"/>
        </w:rPr>
        <w:t xml:space="preserve">- гиперчувствительность к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ламотриджину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</w:rPr>
        <w:t xml:space="preserve"> или к вспомогательным веществам, перечисленным в разделе </w:t>
      </w:r>
    </w:p>
    <w:p w14:paraId="4F5375DD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155C6">
        <w:rPr>
          <w:rFonts w:ascii="Times New Roman" w:hAnsi="Times New Roman"/>
          <w:bCs/>
          <w:iCs/>
          <w:sz w:val="28"/>
          <w:szCs w:val="28"/>
        </w:rPr>
        <w:t>- дети с эпилепсией в возрасте до 2-х лет</w:t>
      </w:r>
    </w:p>
    <w:p w14:paraId="4FDD88DC" w14:textId="7311DF4D" w:rsid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155C6">
        <w:rPr>
          <w:rFonts w:ascii="Times New Roman" w:hAnsi="Times New Roman"/>
          <w:bCs/>
          <w:iCs/>
          <w:sz w:val="28"/>
          <w:szCs w:val="28"/>
        </w:rPr>
        <w:t xml:space="preserve">- пациенты с биполярными нарушениями в возрасте до 18 лет </w:t>
      </w:r>
    </w:p>
    <w:p w14:paraId="7F257722" w14:textId="56ECDF4E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7155C6">
        <w:rPr>
          <w:rFonts w:ascii="Times New Roman" w:hAnsi="Times New Roman"/>
          <w:bCs/>
          <w:iCs/>
          <w:sz w:val="28"/>
          <w:szCs w:val="28"/>
        </w:rPr>
        <w:t xml:space="preserve">наследственная непереносимость фруктозы, дефицит фермента </w:t>
      </w:r>
      <w:r w:rsidRPr="007155C6">
        <w:rPr>
          <w:rFonts w:ascii="Times New Roman" w:hAnsi="Times New Roman"/>
          <w:bCs/>
          <w:iCs/>
          <w:sz w:val="28"/>
          <w:szCs w:val="28"/>
          <w:lang w:val="en-US"/>
        </w:rPr>
        <w:t>Lapp</w:t>
      </w:r>
      <w:r w:rsidRPr="007155C6">
        <w:rPr>
          <w:rFonts w:ascii="Times New Roman" w:hAnsi="Times New Roman"/>
          <w:bCs/>
          <w:iCs/>
          <w:sz w:val="28"/>
          <w:szCs w:val="28"/>
        </w:rPr>
        <w:t xml:space="preserve">-лактозы,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мальабсорбция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</w:rPr>
        <w:t xml:space="preserve"> глюкозы-галактозы</w:t>
      </w:r>
    </w:p>
    <w:p w14:paraId="00D8372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155C6">
        <w:rPr>
          <w:rFonts w:ascii="Times New Roman" w:hAnsi="Times New Roman"/>
          <w:bCs/>
          <w:iCs/>
          <w:sz w:val="28"/>
          <w:szCs w:val="28"/>
        </w:rPr>
        <w:t>- беременность и период лактации</w:t>
      </w:r>
    </w:p>
    <w:p w14:paraId="15024375" w14:textId="01C8240B" w:rsidR="00213498" w:rsidRPr="00213498" w:rsidRDefault="00213498" w:rsidP="00213498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1A8F08F3" w14:textId="77777777" w:rsidR="00B50587" w:rsidRPr="00844CE8" w:rsidRDefault="00B50587" w:rsidP="00B5058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E307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Необходимые меры предосторожности при применении</w:t>
      </w:r>
    </w:p>
    <w:p w14:paraId="05B3A726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bookmarkStart w:id="2" w:name="2175220271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Кожные высыпания</w:t>
      </w:r>
    </w:p>
    <w:p w14:paraId="5820141A" w14:textId="17D096DA" w:rsid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Развитие кожных высыпаний обычно отмечается в течение первых 8 недель после начала терапии препаратом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</w:t>
      </w:r>
    </w:p>
    <w:p w14:paraId="2D78FEC1" w14:textId="018CF646" w:rsidR="00FB421B" w:rsidRPr="0047085B" w:rsidRDefault="00FB421B" w:rsidP="00FB421B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bookmarkStart w:id="3" w:name="_Hlk151562250"/>
      <w:r w:rsidRPr="004708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 небольшого числа людей, принимающих ЛАНИСТОР</w:t>
      </w:r>
      <w:r w:rsidRPr="0047085B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4708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возникает аллергическая реакция или потенциально опасная для жизни кожная реакция, которая может перерасти в более серьезные проблемы, если их не лечить. Они могут включать синдром </w:t>
      </w:r>
      <w:proofErr w:type="spellStart"/>
      <w:r w:rsidRPr="004708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Стивенса</w:t>
      </w:r>
      <w:proofErr w:type="spellEnd"/>
      <w:r w:rsidRPr="004708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–Джонсона (SJS), токсический </w:t>
      </w:r>
      <w:proofErr w:type="spellStart"/>
      <w:r w:rsidRPr="004708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эпидермальный</w:t>
      </w:r>
      <w:proofErr w:type="spellEnd"/>
      <w:r w:rsidRPr="004708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4708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некролиз</w:t>
      </w:r>
      <w:proofErr w:type="spellEnd"/>
      <w:r w:rsidRPr="004708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(TEN) и лекарственную реакцию с </w:t>
      </w:r>
      <w:proofErr w:type="spellStart"/>
      <w:r w:rsidRPr="004708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эозинофилией</w:t>
      </w:r>
      <w:proofErr w:type="spellEnd"/>
      <w:r w:rsidRPr="004708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системными симптомами (DRESS). </w:t>
      </w:r>
      <w:bookmarkEnd w:id="3"/>
      <w:r w:rsidRPr="004708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Вам необходимо знать симптомы, на которые следует обратить внимание во время приема препарата ЛАНИСТОР</w:t>
      </w:r>
      <w:r w:rsidRPr="0047085B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4708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 </w:t>
      </w:r>
      <w:r w:rsidRPr="0047085B">
        <w:rPr>
          <w:rFonts w:ascii="Times New Roman" w:eastAsia="Times New Roman" w:hAnsi="Times New Roman"/>
          <w:iCs/>
          <w:sz w:val="28"/>
          <w:szCs w:val="28"/>
          <w:lang w:eastAsia="ru-RU"/>
        </w:rPr>
        <w:t>Этот риск может быть связан с вариантами генов у людей азиатского происхождения (в основном у китайцев-</w:t>
      </w:r>
      <w:proofErr w:type="spellStart"/>
      <w:r w:rsidRPr="0047085B">
        <w:rPr>
          <w:rFonts w:ascii="Times New Roman" w:eastAsia="Times New Roman" w:hAnsi="Times New Roman"/>
          <w:iCs/>
          <w:sz w:val="28"/>
          <w:szCs w:val="28"/>
          <w:lang w:eastAsia="ru-RU"/>
        </w:rPr>
        <w:t>ханьцев</w:t>
      </w:r>
      <w:proofErr w:type="spellEnd"/>
      <w:r w:rsidRPr="0047085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тайцев). Если вы такого происхождения и ранее проходили тестирование на наличие этого генетического варианта (HLA-B* 1502), обсудите это со своим врачом, прежде чем принимать ЛАНИСТОР</w:t>
      </w:r>
      <w:r w:rsidRPr="0047085B">
        <w:rPr>
          <w:rFonts w:ascii="Times New Roman" w:eastAsia="Times New Roman" w:hAnsi="Times New Roman"/>
          <w:iCs/>
          <w:sz w:val="28"/>
          <w:szCs w:val="28"/>
          <w:vertAlign w:val="superscript"/>
          <w:lang w:eastAsia="ru-RU"/>
        </w:rPr>
        <w:t>®</w:t>
      </w:r>
      <w:r w:rsidRPr="0047085B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61B0053B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Частота встречаемости тяжелых высыпаний у пациентов с эпилепсией, принимающих препарат в рекомендованных дозах, составляет 1:500 (половина из которых составляют пациенты с синдромом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Стивенса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-Джонсона); у пациентов с биполярными расстройствами этот показатель составляет 1:1000. </w:t>
      </w:r>
    </w:p>
    <w:p w14:paraId="38C595D4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Риск высыпаний в детской популяции выше, чем у взрослых (случаи, требующие госпитализации, составляли 1: 100/300). </w:t>
      </w:r>
    </w:p>
    <w:p w14:paraId="0F11C75A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Поскольку первые признаки кожных высыпаний у детей могут быть ошибочно приняты за инфекцию, врачам необходимо учитывать возможность развития побочной реакции на препарат у детей, у которых появляются высыпания и лихорадка в течение первых 8 недель терапии.</w:t>
      </w:r>
    </w:p>
    <w:p w14:paraId="3819794C" w14:textId="74C46445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Были также сообщения о реакциях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фоточувствительности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связанных с применением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В нескольких случаях реакция происходила при высокой дозе (400 мг и более), при повышении дозы или быстром повышении титрования. При подозрении на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фоточувствительность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связанную с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у пациента с признаками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>фоточувствительности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(например, солнечный ожог) следует рассмотреть вопрос о прекращении лечения. Если продолжение лечения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считается клинически оправданным, пациенту следует рекомендовать избегать воздействия солнечного света и искусственного ультрафиолетового излучения и принимать защитные меры (например, использовать защитную одежду и солнцезащитные кремы).</w:t>
      </w:r>
    </w:p>
    <w:p w14:paraId="444F3BE4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Риск возникновения кожных патологий может быть увеличен в следующих случаях: </w:t>
      </w:r>
    </w:p>
    <w:p w14:paraId="2EB96728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- высокая начальная доза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или чрезмерное увеличение дозы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монотерапии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14:paraId="19B72E6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- сопутствующая терапия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вальпроатом</w:t>
      </w:r>
      <w:proofErr w:type="spellEnd"/>
    </w:p>
    <w:p w14:paraId="237B8966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Следует соблюдать осторожность при назначении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пациентам с аллергическими реакциями на прием других ПЭП, так как риск развития высыпаний после приема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 таких пациентов в три раза выше.</w:t>
      </w:r>
    </w:p>
    <w:p w14:paraId="5552C414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Необходимо проводить тщательную оценку состояния всех пациентов с наличием кожной сыпи и отменить прием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до момента подтверждения этиологии высыпаний. Прием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должен возобновляться, если лечение было отменено по причине развития сыпи, если предполагаемая польза от приема не превышает возможные риски.</w:t>
      </w:r>
    </w:p>
    <w:p w14:paraId="63390BAE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Признаком развития синдрома гиперчувствительности может являться кожная сыпь, ассоциированная с такими системными симптомами, как лихорадка,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лимфоаденопатия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отек лица, гематологические нарушения, поражение печени и асептический менингит. Тяжесть синдрома гиперчувствительности может варьировать в широких пределах и, в редких случаях, приводить к развитию ДВС-синдрома 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полиорганным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поражениям. Важно помнить, что ранние проявления синдрома гиперчувствительности (лихорадка,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лимфоаденопатия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и т.д.) могут присутствовать без наличия кожных высыпаний, и в данном случае пациент должен немедленно обратиться к врачу для оценки состояния и при отсутствии иной этиологии данных проявлений, применение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должно быть отменено. </w:t>
      </w:r>
    </w:p>
    <w:p w14:paraId="1E81F8F1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Асептический менингит в большинстве случаев являлся обратимым при отмене препарата, но при повторном назначении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препарата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некоторых случаях данная патология возобновлялась и характеризовалась более быстрым началом и более тяжелым течением, в связи с чем, не рекомендуется назначение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если его прием был отменен по причине развития асептического менингита.</w:t>
      </w:r>
    </w:p>
    <w:p w14:paraId="7B37EA26" w14:textId="77777777" w:rsidR="007155C6" w:rsidRPr="0047085B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47085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Суицидальный риск</w:t>
      </w:r>
    </w:p>
    <w:p w14:paraId="2B1EA147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Симптомы депрессии и/или биполярных расстройств могут иметь место у пациентов с эпилепсией, и такие пациенты относятся к группе риска со склонностью к суициду. От 25 до 50% пациентов с биполярными расстройствами совершают попытку самоубийства хотя бы один раз, независимо от того, принимают они лечение, в том числе и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препаратом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>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или нет. Есть доказательства, свидетельствующие о повышенной возможности суицида среди больных эпилепсией.</w:t>
      </w:r>
    </w:p>
    <w:p w14:paraId="511DE2CE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Пациенты с биполярными расстройствами, получающие лечение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препаратом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должны быть тщательно обследованы на предмет клинического ухудшения, включая развитие новых симптомов и суицид, особенно в начале курса лечения или при изменении дозы препарата.</w:t>
      </w:r>
    </w:p>
    <w:p w14:paraId="0292D3A7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Пациенты, которые имеют в анамнезе суицидальные попытки или мысли о самоубийстве, а также пациенты молодого возраста, должны находиться под тщательным врачебным контролем в течение всего курса лечения.</w:t>
      </w:r>
    </w:p>
    <w:p w14:paraId="55CE66D6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Больные должны быть проинформированы, что в случае любого ухудшения состояния, включающего появление новых признаков, мыслей о самоубийстве и\или желания причинить себе вред, они должны немедленно сообщить об этом врачу. В этих случаях врач должен принять решение об изменении схемы лечения или отмены препарата.</w:t>
      </w:r>
    </w:p>
    <w:p w14:paraId="6A4C1049" w14:textId="77777777" w:rsidR="007155C6" w:rsidRPr="0047085B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47085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Гормональные контрацептивы</w:t>
      </w:r>
    </w:p>
    <w:p w14:paraId="0319AA9F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Комбинация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этинилэстрадиол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/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левоноргестрел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(30 мкг/150 мкг) приводит к увеличению клиренса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что снижает его плазменные концентрации примерно в 2 раза. Более высокие терапевтические дозы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 препарата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(более, чем в 2 раза) могут быть необходимы для достижения максимального терапевтического эффекта. У женщин, не принимающих индукторы печеночных ферментов и принимающих гормональные контрацептивы, включая 1 неделю неактивной терапии (свободная от таблеток неделя), постепенное кратковременное увеличение уровня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будет происходить во время недели неактивной терапии.</w:t>
      </w:r>
    </w:p>
    <w:p w14:paraId="0AB35109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Когда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гормональные контрацептивы применяются в комбинации, происходит умеренное увеличение выделения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левоноргестрела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изменение в сыворотке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FSH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LH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Влияние данного изменения на овуляторную активность неизвестно. Возможность этого изменения может привести к увеличению контрацептивной эффективности. Женщины, которые применяют гормональные контрацептивы для приема внутрь на фоне терапии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препаратом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должны сообщать врачу о любых изменениях менструального цикла, а также о начале или прекращении приема контрацептивов на фоне приема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препарата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</w:t>
      </w:r>
    </w:p>
    <w:p w14:paraId="1C386D63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В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>начале или при прекращении приема гормональных контрацептивов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необходим тщательный мониторинг со стороны лечащего врача и в большинстве случаев – коррекция принимаемой дозы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>препарата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Влияние других оральных контрацептивов и заместительной гормональной терапии изучено не было, но возможно их схожее влияние на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</w:t>
      </w:r>
    </w:p>
    <w:p w14:paraId="3BC93264" w14:textId="77777777" w:rsidR="007155C6" w:rsidRPr="0047085B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proofErr w:type="spellStart"/>
      <w:r w:rsidRPr="0047085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Дигидрофолатредуктаза</w:t>
      </w:r>
      <w:proofErr w:type="spellEnd"/>
    </w:p>
    <w:p w14:paraId="309F0334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является слабым ингибитором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дигидрофолатредуктазы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и потому он может влиять на метаболизм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фолатов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при длительной терапии.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>Однако, даже при длительном применении,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вызывает серьезных изменений содержания гемоглобина, среднего объема форменных элементов в крови, концентрации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фолатов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сыворотке (при приеме длительностью до 1 года) или эритроцитах (при приеме длительностью до 5 лет).</w:t>
      </w:r>
    </w:p>
    <w:p w14:paraId="5F4AAE04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Почечная недостаточность</w:t>
      </w:r>
    </w:p>
    <w:p w14:paraId="4F02BE4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Применять с осторожностью в связи с возможной кумуляцией метаболитов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глюкуронида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374A4FB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Пациентам, которые получают лечение другими препаратами, в состав которых входит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без консультации врача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принимать не следует.</w:t>
      </w:r>
    </w:p>
    <w:p w14:paraId="38E0A926" w14:textId="77777777" w:rsidR="007155C6" w:rsidRPr="00CD2ED1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В некоторых случаях тяжелые судорожные припадки, включая эпилептический статус, приводят к развитию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рабдомиолиза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полиорганной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дисфункции, диссеминированному внутрисосудистому свертыванию крови, иногда с летальным исходом. Подобные состояния отмечались и на фоне </w:t>
      </w:r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терапии </w:t>
      </w:r>
      <w:r w:rsidRPr="00CD2ED1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препаратом </w:t>
      </w:r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ЛАНИСТОР</w:t>
      </w:r>
      <w:r w:rsidRPr="00CD2ED1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2E7FF9B9" w14:textId="77777777" w:rsidR="0047085B" w:rsidRPr="00CD2ED1" w:rsidRDefault="0047085B" w:rsidP="0047085B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bookmarkStart w:id="4" w:name="_Hlk130995653"/>
      <w:r w:rsidRPr="00CD2ED1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ЭКГ, типичная для синдрома </w:t>
      </w:r>
      <w:proofErr w:type="spellStart"/>
      <w:r w:rsidRPr="00CD2ED1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Бругада</w:t>
      </w:r>
      <w:proofErr w:type="spellEnd"/>
      <w:r w:rsidRPr="00CD2ED1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и других нарушений сердечного ритма и проводимости</w:t>
      </w:r>
    </w:p>
    <w:p w14:paraId="7E9BEDE5" w14:textId="77777777" w:rsidR="0047085B" w:rsidRPr="00CD2ED1" w:rsidRDefault="0047085B" w:rsidP="0047085B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 пациентов, получавших </w:t>
      </w:r>
      <w:proofErr w:type="spellStart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сообщалось об отклонении сегментов ST-T, что указывает на возможность развития аритмии и картины ЭКГ, характерной для синдрома </w:t>
      </w:r>
      <w:proofErr w:type="spellStart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Бругада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</w:t>
      </w:r>
    </w:p>
    <w:p w14:paraId="3F02532B" w14:textId="77777777" w:rsidR="0047085B" w:rsidRPr="0047085B" w:rsidRDefault="0047085B" w:rsidP="0047085B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Исходя из этих результатов </w:t>
      </w:r>
      <w:proofErr w:type="spellStart"/>
      <w:r w:rsidRPr="00CD2ED1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in</w:t>
      </w:r>
      <w:proofErr w:type="spellEnd"/>
      <w:r w:rsidRPr="00CD2ED1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CD2ED1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vitro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потенциально мог бы замедлять желудочковую проводимость (удлинение комплекса QRS) и вызывать </w:t>
      </w:r>
      <w:proofErr w:type="spellStart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проаритмию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пациентов с клинически значимыми структурными или функциональными нарушениями со стороны сердца. </w:t>
      </w:r>
      <w:proofErr w:type="spellStart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применяемых в терапевтической практике концентрациях обладает противоаритмической активностью класса IB. Следовательно, любая ожидаемая или наблюдаемая польза от применения </w:t>
      </w:r>
      <w:proofErr w:type="spellStart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 таких пациентов требует тщательной оценки в сравнении с потенциальными рисками развития серьезных или смертельных явлений со стороны сердца. Одновременное применение с другими блокаторами натриевых каналов может дополнительно увеличить риск </w:t>
      </w:r>
      <w:proofErr w:type="spellStart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проаритмии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Применение </w:t>
      </w:r>
      <w:proofErr w:type="spellStart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следует тщательно рассмотреть у пациентов с клинически важными структурными или функциональными заболеваниями сердца, такими как синдром </w:t>
      </w:r>
      <w:proofErr w:type="spellStart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Бругада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или другие сердечные </w:t>
      </w:r>
      <w:proofErr w:type="spellStart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каналопатии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сердечная недостаточность, ишемическая болезнь сердца, блокада сердца или желудочковые аритмии. Если применение </w:t>
      </w:r>
      <w:proofErr w:type="spellStart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 этих пациентов клинически оправдано, перед началом приема </w:t>
      </w:r>
      <w:proofErr w:type="spellStart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CD2ED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следует проконсультироваться с кардиологом.</w:t>
      </w:r>
    </w:p>
    <w:bookmarkEnd w:id="4"/>
    <w:p w14:paraId="1DC5DAD8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Общие рекомендации по дозированию при эпилепсии</w:t>
      </w:r>
    </w:p>
    <w:p w14:paraId="4A69413F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 любом изменении терапии, как с отменой противоэпилептических препаратов, которые назначались совместно с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препаратом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так и наоборот, с присоединением других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антиэпилептических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препаратов к комбинированной терапии, включающей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необходимо принимать во внимание возможность изменения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фармакокинетики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Резкая отмена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>препарата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может спровоцировать учащение приступов, связанных с развитием синдрома отмены. За исключением тех случаев, когда состояние пациента требует срочной отмены препарата</w:t>
      </w:r>
      <w:r w:rsidRPr="007155C6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(например, при появлении кожных высыпаний), дозу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 препарата</w:t>
      </w:r>
      <w:r w:rsidRPr="007155C6">
        <w:rPr>
          <w:rFonts w:ascii="Times New Roman" w:eastAsia="Times New Roman" w:hAnsi="Times New Roman"/>
          <w:b/>
          <w:bCs/>
          <w:iCs/>
          <w:sz w:val="28"/>
          <w:szCs w:val="28"/>
          <w:lang w:val="kk-KZ" w:eastAsia="ru-RU"/>
        </w:rPr>
        <w:t xml:space="preserve">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следует снижать постепенно в течение 2 недель. </w:t>
      </w:r>
    </w:p>
    <w:p w14:paraId="42F8F13E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Существуют данные, что тяжелые судорожные припадки, включая «статус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эпилептикус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», могут привести к развитию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рабдомиолиза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мультиорганным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поражениям и ДВС-синдрому, иногда с летальным исходом. Похожие случаи были выявлены на фоне приема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>препарата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634BABD1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Миоклонические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припадки могут усугубиться с применением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690B5806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 детей, принимающих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для лечения типичных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абсансов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эффективность, не может поддерживаться одинаково у всех пациентов.</w:t>
      </w:r>
    </w:p>
    <w:p w14:paraId="733CDBFB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Развитие у детей</w:t>
      </w:r>
    </w:p>
    <w:p w14:paraId="00D02B6B" w14:textId="47589CDC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Не имеется никаких данных о влиянии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на рост, половое созревание и когнитивные, эмоциональные и поведенческие изменения у детей.</w:t>
      </w:r>
    </w:p>
    <w:bookmarkEnd w:id="2"/>
    <w:p w14:paraId="5F1B24B0" w14:textId="2B1FC978" w:rsid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Взаимодействия с другими лекарственными препаратами</w:t>
      </w:r>
    </w:p>
    <w:p w14:paraId="537983CC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5" w:name="_Hlk35515870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>Исследования взаимодействия выполнялись только на взрослых.</w:t>
      </w:r>
    </w:p>
    <w:p w14:paraId="77C2093D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метаболизме </w:t>
      </w:r>
      <w:proofErr w:type="spellStart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принимает участие фермент </w:t>
      </w:r>
      <w:proofErr w:type="spellStart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>глюкуронилтрансфераза</w:t>
      </w:r>
      <w:proofErr w:type="spellEnd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ЛАНИСТОР® может в некоторой степени усиливать свой собственный метаболизм в зависимости от дозы. Тем не менее, не было выявлено влияния ЛАНИСТОР® на </w:t>
      </w:r>
      <w:proofErr w:type="spellStart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других противоэпилептических препаратов, несмотря на их незначительные изменения плазменных концентраций. Взаимодействие между </w:t>
      </w:r>
      <w:proofErr w:type="spellStart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>ламотриджином</w:t>
      </w:r>
      <w:proofErr w:type="spellEnd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препаратами, </w:t>
      </w:r>
      <w:proofErr w:type="spellStart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>метаболизирующимися</w:t>
      </w:r>
      <w:proofErr w:type="spellEnd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посредством системы </w:t>
      </w:r>
      <w:proofErr w:type="spellStart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>цитохрома</w:t>
      </w:r>
      <w:proofErr w:type="spellEnd"/>
      <w:r w:rsidRPr="007155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Р450, маловероятно.</w:t>
      </w:r>
    </w:p>
    <w:p w14:paraId="69E96B1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tbl>
      <w:tblPr>
        <w:tblW w:w="921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260"/>
        <w:gridCol w:w="3260"/>
      </w:tblGrid>
      <w:tr w:rsidR="007155C6" w:rsidRPr="007155C6" w14:paraId="3273B884" w14:textId="77777777" w:rsidTr="007155C6">
        <w:trPr>
          <w:cantSplit/>
        </w:trPr>
        <w:tc>
          <w:tcPr>
            <w:tcW w:w="2694" w:type="dxa"/>
          </w:tcPr>
          <w:p w14:paraId="3ABE03A2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Лекарственные препараты, которые существенно замедляют </w:t>
            </w: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глюкуронидацию</w:t>
            </w:r>
            <w:proofErr w:type="spellEnd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ламотриджина</w:t>
            </w:r>
            <w:proofErr w:type="spellEnd"/>
          </w:p>
        </w:tc>
        <w:tc>
          <w:tcPr>
            <w:tcW w:w="3260" w:type="dxa"/>
          </w:tcPr>
          <w:p w14:paraId="269E331F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Лекарственные препараты, которые значительно индуцируют </w:t>
            </w: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глюкуронидацию</w:t>
            </w:r>
            <w:proofErr w:type="spellEnd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ламотриджина</w:t>
            </w:r>
            <w:proofErr w:type="spellEnd"/>
          </w:p>
        </w:tc>
        <w:tc>
          <w:tcPr>
            <w:tcW w:w="3260" w:type="dxa"/>
          </w:tcPr>
          <w:p w14:paraId="1E1BFADD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Лекарственные препараты, которые существенно не подавляют и не стимулируют </w:t>
            </w: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глюкуронидацию</w:t>
            </w:r>
            <w:proofErr w:type="spellEnd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ламотриджина</w:t>
            </w:r>
            <w:proofErr w:type="spellEnd"/>
          </w:p>
        </w:tc>
      </w:tr>
      <w:tr w:rsidR="007155C6" w:rsidRPr="007155C6" w14:paraId="25897F1C" w14:textId="77777777" w:rsidTr="007155C6">
        <w:trPr>
          <w:cantSplit/>
        </w:trPr>
        <w:tc>
          <w:tcPr>
            <w:tcW w:w="2694" w:type="dxa"/>
          </w:tcPr>
          <w:p w14:paraId="1C7A7DB1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Вальпроат</w:t>
            </w:r>
            <w:proofErr w:type="spellEnd"/>
          </w:p>
        </w:tc>
        <w:tc>
          <w:tcPr>
            <w:tcW w:w="3260" w:type="dxa"/>
          </w:tcPr>
          <w:p w14:paraId="2234ABB2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Фенитоин</w:t>
            </w:r>
            <w:proofErr w:type="spellEnd"/>
          </w:p>
        </w:tc>
        <w:tc>
          <w:tcPr>
            <w:tcW w:w="3260" w:type="dxa"/>
          </w:tcPr>
          <w:p w14:paraId="59AB8E93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Окскарбазепин</w:t>
            </w:r>
            <w:proofErr w:type="spellEnd"/>
          </w:p>
        </w:tc>
      </w:tr>
      <w:tr w:rsidR="007155C6" w:rsidRPr="007155C6" w14:paraId="2340F010" w14:textId="77777777" w:rsidTr="007155C6">
        <w:trPr>
          <w:cantSplit/>
        </w:trPr>
        <w:tc>
          <w:tcPr>
            <w:tcW w:w="2694" w:type="dxa"/>
          </w:tcPr>
          <w:p w14:paraId="26DE299E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33EF6113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Карбамазепин</w:t>
            </w:r>
            <w:proofErr w:type="spellEnd"/>
          </w:p>
        </w:tc>
        <w:tc>
          <w:tcPr>
            <w:tcW w:w="3260" w:type="dxa"/>
          </w:tcPr>
          <w:p w14:paraId="016BE51B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Фелбамат</w:t>
            </w:r>
            <w:proofErr w:type="spellEnd"/>
          </w:p>
        </w:tc>
      </w:tr>
      <w:tr w:rsidR="007155C6" w:rsidRPr="007155C6" w14:paraId="19FBD172" w14:textId="77777777" w:rsidTr="007155C6">
        <w:trPr>
          <w:cantSplit/>
        </w:trPr>
        <w:tc>
          <w:tcPr>
            <w:tcW w:w="2694" w:type="dxa"/>
          </w:tcPr>
          <w:p w14:paraId="0D465295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5DDAE905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Фенобарбитон</w:t>
            </w:r>
            <w:proofErr w:type="spellEnd"/>
          </w:p>
        </w:tc>
        <w:tc>
          <w:tcPr>
            <w:tcW w:w="3260" w:type="dxa"/>
          </w:tcPr>
          <w:p w14:paraId="322A4091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Габапентин</w:t>
            </w:r>
            <w:proofErr w:type="spellEnd"/>
          </w:p>
        </w:tc>
      </w:tr>
      <w:tr w:rsidR="007155C6" w:rsidRPr="007155C6" w14:paraId="4C2B6C56" w14:textId="77777777" w:rsidTr="007155C6">
        <w:trPr>
          <w:cantSplit/>
        </w:trPr>
        <w:tc>
          <w:tcPr>
            <w:tcW w:w="2694" w:type="dxa"/>
          </w:tcPr>
          <w:p w14:paraId="6C9EC2ED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21A8E700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Примидон</w:t>
            </w:r>
            <w:proofErr w:type="spellEnd"/>
          </w:p>
        </w:tc>
        <w:tc>
          <w:tcPr>
            <w:tcW w:w="3260" w:type="dxa"/>
          </w:tcPr>
          <w:p w14:paraId="67B2A9DD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Леветирацетам</w:t>
            </w:r>
            <w:proofErr w:type="spellEnd"/>
          </w:p>
        </w:tc>
      </w:tr>
      <w:tr w:rsidR="007155C6" w:rsidRPr="007155C6" w14:paraId="37BDFDBB" w14:textId="77777777" w:rsidTr="007155C6">
        <w:trPr>
          <w:cantSplit/>
        </w:trPr>
        <w:tc>
          <w:tcPr>
            <w:tcW w:w="2694" w:type="dxa"/>
          </w:tcPr>
          <w:p w14:paraId="38E7EC0B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345742CE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Рифампицин</w:t>
            </w:r>
            <w:proofErr w:type="spellEnd"/>
          </w:p>
        </w:tc>
        <w:tc>
          <w:tcPr>
            <w:tcW w:w="3260" w:type="dxa"/>
          </w:tcPr>
          <w:p w14:paraId="12AAA664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Прегабалин</w:t>
            </w:r>
            <w:proofErr w:type="spellEnd"/>
          </w:p>
        </w:tc>
      </w:tr>
      <w:tr w:rsidR="007155C6" w:rsidRPr="007155C6" w14:paraId="7DAD8E81" w14:textId="77777777" w:rsidTr="007155C6">
        <w:trPr>
          <w:cantSplit/>
        </w:trPr>
        <w:tc>
          <w:tcPr>
            <w:tcW w:w="2694" w:type="dxa"/>
          </w:tcPr>
          <w:p w14:paraId="0EBBB9A4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52CD7FB9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Лопинавир</w:t>
            </w:r>
            <w:proofErr w:type="spellEnd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ритонавир</w:t>
            </w:r>
            <w:proofErr w:type="spellEnd"/>
          </w:p>
        </w:tc>
        <w:tc>
          <w:tcPr>
            <w:tcW w:w="3260" w:type="dxa"/>
          </w:tcPr>
          <w:p w14:paraId="30A9D06C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Топирамат</w:t>
            </w:r>
            <w:proofErr w:type="spellEnd"/>
          </w:p>
        </w:tc>
      </w:tr>
      <w:tr w:rsidR="007155C6" w:rsidRPr="007155C6" w14:paraId="4F34B712" w14:textId="77777777" w:rsidTr="007155C6">
        <w:trPr>
          <w:cantSplit/>
        </w:trPr>
        <w:tc>
          <w:tcPr>
            <w:tcW w:w="2694" w:type="dxa"/>
          </w:tcPr>
          <w:p w14:paraId="0640F1D0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0489714A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Этинилэстрадиол</w:t>
            </w:r>
            <w:proofErr w:type="spellEnd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левоноргестрел</w:t>
            </w:r>
            <w:proofErr w:type="spellEnd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260" w:type="dxa"/>
          </w:tcPr>
          <w:p w14:paraId="27CBC441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Зонисамид</w:t>
            </w:r>
            <w:proofErr w:type="spellEnd"/>
          </w:p>
        </w:tc>
      </w:tr>
      <w:tr w:rsidR="007155C6" w:rsidRPr="007155C6" w14:paraId="05E5400A" w14:textId="77777777" w:rsidTr="007155C6">
        <w:trPr>
          <w:cantSplit/>
        </w:trPr>
        <w:tc>
          <w:tcPr>
            <w:tcW w:w="2694" w:type="dxa"/>
          </w:tcPr>
          <w:p w14:paraId="346015FD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65386CB1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Атазанавир</w:t>
            </w:r>
            <w:proofErr w:type="spellEnd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ритонавир</w:t>
            </w:r>
            <w:proofErr w:type="spellEnd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40AE9DB7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Литий</w:t>
            </w:r>
          </w:p>
        </w:tc>
      </w:tr>
      <w:tr w:rsidR="007155C6" w:rsidRPr="007155C6" w14:paraId="2E886F5F" w14:textId="77777777" w:rsidTr="007155C6">
        <w:trPr>
          <w:cantSplit/>
        </w:trPr>
        <w:tc>
          <w:tcPr>
            <w:tcW w:w="2694" w:type="dxa"/>
          </w:tcPr>
          <w:p w14:paraId="46D668D8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2A80FC90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3165EED7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Бупропион</w:t>
            </w:r>
            <w:proofErr w:type="spellEnd"/>
          </w:p>
        </w:tc>
      </w:tr>
      <w:tr w:rsidR="007155C6" w:rsidRPr="007155C6" w14:paraId="35A9B83D" w14:textId="77777777" w:rsidTr="007155C6">
        <w:trPr>
          <w:cantSplit/>
        </w:trPr>
        <w:tc>
          <w:tcPr>
            <w:tcW w:w="2694" w:type="dxa"/>
          </w:tcPr>
          <w:p w14:paraId="43254B01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08BB47BF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13BC30D3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Оланзапин</w:t>
            </w:r>
            <w:proofErr w:type="spellEnd"/>
          </w:p>
        </w:tc>
      </w:tr>
      <w:tr w:rsidR="007155C6" w:rsidRPr="007155C6" w14:paraId="3EB805EF" w14:textId="77777777" w:rsidTr="007155C6">
        <w:trPr>
          <w:cantSplit/>
        </w:trPr>
        <w:tc>
          <w:tcPr>
            <w:tcW w:w="2694" w:type="dxa"/>
          </w:tcPr>
          <w:p w14:paraId="4B0DCEBB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6BC0BC37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5C01737A" w14:textId="77777777" w:rsidR="007155C6" w:rsidRPr="007155C6" w:rsidRDefault="007155C6" w:rsidP="00715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7155C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Арипипразол</w:t>
            </w:r>
            <w:proofErr w:type="spellEnd"/>
          </w:p>
        </w:tc>
      </w:tr>
    </w:tbl>
    <w:p w14:paraId="34C869E8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*Другие пероральные контрацептивы и HRT методы лечения не были изучены, хотя они могут так же оказывать влияние на фармакокинетические параметры.</w:t>
      </w:r>
    </w:p>
    <w:p w14:paraId="0793B91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Взаимодействие с противоэпилептическими препаратами</w:t>
      </w:r>
    </w:p>
    <w:p w14:paraId="49301F43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Вальпроат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который ингибирует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глюкуронидацию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снижает метаболизм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увеличивает средний период полувыведения 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примерно в два раза. Для пациентов, получающих сопутствующую терапию с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вальпроатом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следует использовать соответствующую схему лечения.</w:t>
      </w:r>
    </w:p>
    <w:p w14:paraId="562C35DD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vertAlign w:val="subscript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Противоэпилептические препараты (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фенитоин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карбамазепин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фенобарбитал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пиримидон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), а также парацетамол индуцируют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глюкуронидацию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тем самым ускоряют метаболизм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укорачивают период его полувыведения в 2 раза. Для пациентов, получающих сопутствующую терапию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фенитоином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карбамазепином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фенобарбитоном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или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примидоном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следует использовать соответствующую схему лечения.</w:t>
      </w:r>
    </w:p>
    <w:p w14:paraId="791B4808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 присоединении к терапии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карбамазепином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возможно развитие головокружения, атаксии, диплопии, нечеткости зрения и тошноты, исчезающие при снижении дозы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карбамазепина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26A75890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Данные симптомы возникают также при назначении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окскарбазепина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при снижении дозы которого эти симптомы проходят. Присоединение к терапии 1200 мг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окскарбазепина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с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препаратом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дозе 200 мг не оказывает влияния на метаболизм этих препаратов. </w:t>
      </w:r>
    </w:p>
    <w:p w14:paraId="7CFD5750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 присоединении к терапии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фелбаматом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(1200 мг дважды в день)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дозе 100 мг два раза в день в течение 10 дней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изменялась. </w:t>
      </w:r>
    </w:p>
    <w:p w14:paraId="1E0B9173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Совместное назначение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габапентина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оказывает влияния на клиренс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</w:t>
      </w:r>
    </w:p>
    <w:p w14:paraId="3CD7A62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Совместное применение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леветирацетама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оказывало влияния на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обоих препаратов.</w:t>
      </w:r>
    </w:p>
    <w:p w14:paraId="380DAA37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Присоединение к терапии препаратом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прегабалина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дозе 200 мг 3 раза в сутки не оказывает влияния на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7F47D279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Топирамат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влияет на плазменные концентрации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При совместном применении концентрация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топирамата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увеличивается на 15%.</w:t>
      </w:r>
    </w:p>
    <w:p w14:paraId="01626BA4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Прием 200-400 мг/сутки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зонизамида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вместе с 150-500 мг/сутки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течение 35 дней не оказывает существенного влияния на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37C81379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Взаимодействие с другими </w:t>
      </w:r>
      <w:proofErr w:type="spellStart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психоактивными</w:t>
      </w:r>
      <w:proofErr w:type="spellEnd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веществами</w:t>
      </w:r>
    </w:p>
    <w:p w14:paraId="119FD8D6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>При присоединении к терапии безводным глюконатом лития в дозе 2 г два раза в сутки в течение 6 дней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дозе 100 мг/сутки,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лития не меняется.</w:t>
      </w:r>
    </w:p>
    <w:p w14:paraId="3C4E3A72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Повторный прием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бупропиона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оказывает значительного влияния на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за исключением небольшого увеличения показателя “площадь под кривой соотношения концентрация-время” для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глюкуронида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202503CE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 xml:space="preserve">®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в дозе 200 мг не оказывает влияния на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оланзапина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470FA7E3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 приеме 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дозе ≥100 мг/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сут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совместно с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арипипразолом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дозе 30 мг/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сут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наблюдалось снижение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AUC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C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bscript"/>
          <w:lang w:val="en-US" w:eastAsia="ru-RU"/>
        </w:rPr>
        <w:t>max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примерно на 10%, что не имеет особого клинического значения.</w:t>
      </w:r>
    </w:p>
    <w:p w14:paraId="3EA89631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Результаты </w:t>
      </w:r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val="en-US" w:eastAsia="ru-RU"/>
        </w:rPr>
        <w:t>i</w:t>
      </w:r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n </w:t>
      </w:r>
      <w:proofErr w:type="spellStart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vitro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показали, что первичный метаболит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2-N-глюкуронид подвергается минимальному воздействию при совместном назначении с амитриптилином,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бупропионом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клонозепамом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флуоксетином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галоперидолом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лоразепамом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Данные метаболизма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буфуралола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предполагают, что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снижает клиренс препаратов,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метаболизирующимися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посредством CYP2D6. Данные </w:t>
      </w:r>
      <w:proofErr w:type="spellStart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in</w:t>
      </w:r>
      <w:proofErr w:type="spellEnd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vitro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показали, что на клиренс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влияет сопутствующее назначение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клозапина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фенелзина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рисперидона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сертралина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или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тразодона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</w:t>
      </w:r>
    </w:p>
    <w:p w14:paraId="6496B0C3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Терапия препаратом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совместно с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рисперидоном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может вызвать сонливость.</w:t>
      </w:r>
    </w:p>
    <w:p w14:paraId="04081650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Взаимодействия с гормональными контрацептивами</w:t>
      </w:r>
    </w:p>
    <w:p w14:paraId="454CBD00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Влияние гормональных контрацептивов на </w:t>
      </w:r>
      <w:proofErr w:type="spellStart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</w:p>
    <w:p w14:paraId="2BFB7CD9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Комбинация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этинилэстрадиол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/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левоноргестрел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(30 мкг/150 мкг) приводит к увеличению клиренса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примерно в 2 раза, снижая его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AUC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C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bscript"/>
          <w:lang w:val="en-US" w:eastAsia="ru-RU"/>
        </w:rPr>
        <w:t>max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bscript"/>
          <w:lang w:eastAsia="ru-RU"/>
        </w:rPr>
        <w:t xml:space="preserve">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на 52% и 39% соответственно.</w:t>
      </w:r>
    </w:p>
    <w:p w14:paraId="69F14E1F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Комбинация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гормональных контрацептивов приводит к умеренному увеличению выделения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левоноргестрела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изменению в сыворотке показателей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FSH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LH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694EEB6D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Уровень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сыворотке увеличивается в ходе недели неактивного лечения (в том числе недели "без приёма таблеток"), с концентрацией предварительных доз в конце недели неактивного лечения, в среднем, примерно в два раза выше, чем во время совместной терапии.</w:t>
      </w:r>
    </w:p>
    <w:p w14:paraId="13AAB19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Поддерживающая доза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должна быть увеличена, или уменьшена в большинстве случаев при начале, или прекращении применения гормональных контрацептивов.</w:t>
      </w:r>
    </w:p>
    <w:p w14:paraId="166B53B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Влияние </w:t>
      </w:r>
      <w:proofErr w:type="spellStart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на </w:t>
      </w:r>
      <w:proofErr w:type="spellStart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гормональных контрацептивов </w:t>
      </w:r>
    </w:p>
    <w:p w14:paraId="2E771189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Доза устойчивого состояния 300 мг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влияет на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этинилэстрадиолового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компонента  комбинированного орального противозачаточного средства. Наблюдается умеренное увеличение орального клиренса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левоноргестрела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приводя к среднему 19%-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>му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12%-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gram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снижении</w:t>
      </w:r>
      <w:proofErr w:type="gram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AUC 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C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bscript"/>
          <w:lang w:eastAsia="ru-RU"/>
        </w:rPr>
        <w:t>max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соответственно. Измерение уровней  FSH, LH 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экстрадиола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сыворотке указывают на некоторое снижение подавления яичниковой гормональной деятельности у некоторых женщин, хотя измерение прогестерона сыворотки подтверждает отсутствие гормональных доказательств овуляции. Влияние умеренного увеличения клиренса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левоноргестрела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изменений в сывороточных уровнях FSH и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LH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на яичниковую овуляторную деятельность неизвестно. Эффекты других доз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кроме  300 мг/день не были изучены, и исследования с другими женскими гормональными препаратами не проводились. </w:t>
      </w:r>
    </w:p>
    <w:p w14:paraId="28E872E3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Взаимодействие с другими лекарственными средствами</w:t>
      </w:r>
    </w:p>
    <w:p w14:paraId="788C3831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 совместном применении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рифампицин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увеличивает клиренс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снижает период его полувыведения, в связи с чем, в данной ситуации рекомендуется режим дозирования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показанный для комбинации препаратов, индуцирующих печеночные ферменты.</w:t>
      </w:r>
    </w:p>
    <w:p w14:paraId="3654A5D0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 совместном применении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лопинавир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/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ритонавир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снижает плазменные концентрации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почти вдвое, в связи с чем в данной ситуации рекомендуется режим дозирования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показанный для комбинации препаратов, индуцирующих печеночные ферменты.</w:t>
      </w:r>
    </w:p>
    <w:p w14:paraId="6869F9B2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 совместном применении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атазанавир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/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ритонавир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(300 мг/100 мг) снижает 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AUC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C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bscript"/>
          <w:lang w:val="en-US" w:eastAsia="ru-RU"/>
        </w:rPr>
        <w:t>max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на 32% и 6% соответственно. </w:t>
      </w:r>
    </w:p>
    <w:p w14:paraId="449D1966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Данные оценки лабораторных исследований продемонстрировали, что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но не N (2)- метаболит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глюкуронида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является ингибитором органического катионного транспортёра 2 (OCT 2) в потенциально клинически значимых концентрациях. Эти данные показывают, что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подавляет почечную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канальцевую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секрецию посредством белка ОТС 2, что может вызвать повышение плазменных концентраций препаратов, выводимых из организма по данному механизму. Назначение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субстратов ОТС 2 с узким терапевтическим индексом (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дофетилид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) не рекомендуется.</w:t>
      </w:r>
    </w:p>
    <w:p w14:paraId="59E441EF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Совместное применение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 лекарственными средствами, которые выводятся почками по механизму OCT2 (например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метформин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габапентин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варениклин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) может привести к увеличению концентрации этих лекарственных средств в плазме крови. Клиническая значимость этого не была четко определена, однако следует проявлять осторожность в отношении пациентов, которым вводятся эти лекарственные средства.</w:t>
      </w:r>
    </w:p>
    <w:p w14:paraId="24C24C89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Прием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может влиять на количественное определение остатков лекарственных препаратов  в моче, давая ложноположительные результаты, особенно на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фенциклидин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 В связи с этим рекомендуется применять более специфические альтернативные методы для подтверждения положительных  результатов.</w:t>
      </w:r>
    </w:p>
    <w:p w14:paraId="6AFE363E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bookmarkStart w:id="6" w:name="_Hlk69378005"/>
      <w:r w:rsidRPr="007155C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Взаимодействие с противоэпилептическими препаратами</w:t>
      </w:r>
    </w:p>
    <w:p w14:paraId="3573CF1A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Вальпроат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который ингибирует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глюкуронидацию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снижает метаболизм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увеличивает средний период полувыведения 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примерно в два раза. Для пациентов, получающих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 xml:space="preserve">сопутствующую терапию с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вальпроатом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следует использовать соответствующую схему лечения.</w:t>
      </w:r>
    </w:p>
    <w:p w14:paraId="36DCE58C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vertAlign w:val="subscript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Противоэпилептические препараты (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фенитоин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карбамазепин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фенобарбитал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пиримидон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), а также парацетамол индуцируют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глюкуронидацию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тем самым ускоряют метаболизм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укорачивают период его полувыведения в 2 раза. Для пациентов, получающих сопутствующую терапию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фенитоином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карбамазепином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фенобарбитоном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или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примидоном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следует использовать соответствующую схему лечения.</w:t>
      </w:r>
    </w:p>
    <w:p w14:paraId="535F022D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 присоединении к терапии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карбамазепином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возможно развитие головокружения, атаксии, диплопии, нечеткости зрения и тошноты, исчезающие при снижении дозы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карбамазепина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7EE35BC6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Данные симптомы возникают также при назначении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окскарбазепина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при снижении дозы которого эти симптомы проходят. Присоединение к терапии 1200 мг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окскарбазепина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с 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препаратом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дозе 200 мг не оказывает влияния на метаболизм этих препаратов. </w:t>
      </w:r>
    </w:p>
    <w:p w14:paraId="7344BC8E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 присоединении к терапии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фелбаматом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(1200 мг дважды в день)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дозе 100 мг два раза в день в течение 10 дней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изменялась. </w:t>
      </w:r>
    </w:p>
    <w:p w14:paraId="2F0276B8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Совместное назначение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габапентина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оказывает влияния на клиренс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ламотриджина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</w:t>
      </w:r>
    </w:p>
    <w:p w14:paraId="0C913050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Совместное применение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леветирацетама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оказывало влияния на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обоих препаратов.</w:t>
      </w:r>
    </w:p>
    <w:p w14:paraId="38F71AC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Присоединение к терапии препаратом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прегабалина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дозе 200 мг 3 раза в сутки не оказывает влияния на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7ACAC9C2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Топирамат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влияет на плазменные концентрации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При совместном применении концентрация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топирамата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увеличивается на 15%.</w:t>
      </w:r>
    </w:p>
    <w:p w14:paraId="50AB21A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Прием 200-400 мг/сутки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зонизамида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вместе с 150-500 мг/сутки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течение 35 дней не оказывает существенного влияния на </w:t>
      </w:r>
      <w:proofErr w:type="spellStart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фармакокинетику</w:t>
      </w:r>
      <w:proofErr w:type="spellEnd"/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препарата ЛАНИСТОР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®</w:t>
      </w:r>
      <w:r w:rsidRPr="007155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bookmarkEnd w:id="5"/>
    <w:bookmarkEnd w:id="6"/>
    <w:p w14:paraId="4B2E51BE" w14:textId="77777777" w:rsidR="00D43297" w:rsidRPr="009C18D6" w:rsidRDefault="00D43297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Специальные предупреждения</w:t>
      </w:r>
    </w:p>
    <w:p w14:paraId="636FCF6C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bookmarkStart w:id="7" w:name="_Hlk66803128"/>
      <w:r w:rsidRPr="007155C6">
        <w:rPr>
          <w:rFonts w:ascii="Times New Roman" w:hAnsi="Times New Roman"/>
          <w:bCs/>
          <w:i/>
          <w:iCs/>
          <w:sz w:val="28"/>
          <w:szCs w:val="28"/>
        </w:rPr>
        <w:t xml:space="preserve">Женщины детородного возраста </w:t>
      </w:r>
    </w:p>
    <w:p w14:paraId="53755D0A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u w:val="single"/>
          <w:lang w:val="pl-PL"/>
        </w:rPr>
      </w:pPr>
      <w:r w:rsidRPr="007155C6">
        <w:rPr>
          <w:rFonts w:ascii="Times New Roman" w:hAnsi="Times New Roman"/>
          <w:bCs/>
          <w:iCs/>
          <w:sz w:val="28"/>
          <w:szCs w:val="28"/>
          <w:u w:val="single"/>
          <w:lang w:val="pl-PL"/>
        </w:rPr>
        <w:t xml:space="preserve">Риск, связанный с ПЭП в целом </w:t>
      </w:r>
    </w:p>
    <w:p w14:paraId="587F3DAB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pl-PL"/>
        </w:rPr>
      </w:pPr>
      <w:r w:rsidRPr="007155C6">
        <w:rPr>
          <w:rFonts w:ascii="Times New Roman" w:hAnsi="Times New Roman"/>
          <w:bCs/>
          <w:iCs/>
          <w:sz w:val="28"/>
          <w:szCs w:val="28"/>
          <w:lang w:val="pl-PL"/>
        </w:rPr>
        <w:t xml:space="preserve">Женщинам, способным к деторождению, необходимо проконсультироваться со специалистами. В случае если женщина планирует беременность, противоэпилептическая терапия должна быть пересмотрена. Женщинам, которым проводится лечение эпилепсии, следует избегать внезапного прекращения противоэпилептической терапии, так как это может привести к возобновлению припадков, что может иметь серьезные последствия для женщины и будущего ребенка. Терапия несколькими ПЭП может быть связана с более высоким риском возникновения врожденных пороков развития, чем монотерапия, в </w:t>
      </w:r>
      <w:r w:rsidRPr="007155C6">
        <w:rPr>
          <w:rFonts w:ascii="Times New Roman" w:hAnsi="Times New Roman"/>
          <w:bCs/>
          <w:iCs/>
          <w:sz w:val="28"/>
          <w:szCs w:val="28"/>
          <w:lang w:val="pl-PL"/>
        </w:rPr>
        <w:lastRenderedPageBreak/>
        <w:t>зависимости от применяемых ПЭП, поэтому по возможности следует применять монотерапию.</w:t>
      </w:r>
    </w:p>
    <w:p w14:paraId="246DBEB0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u w:val="single"/>
          <w:lang w:val="pl-PL"/>
        </w:rPr>
      </w:pPr>
      <w:r w:rsidRPr="007155C6">
        <w:rPr>
          <w:rFonts w:ascii="Times New Roman" w:hAnsi="Times New Roman"/>
          <w:bCs/>
          <w:iCs/>
          <w:sz w:val="28"/>
          <w:szCs w:val="28"/>
          <w:u w:val="single"/>
          <w:lang w:val="pl-PL"/>
        </w:rPr>
        <w:t>Риск, связанный с приемом ламотриджина</w:t>
      </w:r>
    </w:p>
    <w:p w14:paraId="21391931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val="pl-PL"/>
        </w:rPr>
      </w:pPr>
      <w:r w:rsidRPr="007155C6">
        <w:rPr>
          <w:rFonts w:ascii="Times New Roman" w:hAnsi="Times New Roman"/>
          <w:bCs/>
          <w:i/>
          <w:iCs/>
          <w:sz w:val="28"/>
          <w:szCs w:val="28"/>
          <w:lang w:val="pl-PL"/>
        </w:rPr>
        <w:t xml:space="preserve">Беременность </w:t>
      </w:r>
    </w:p>
    <w:p w14:paraId="26882992" w14:textId="4B417E9F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pl-PL"/>
        </w:rPr>
      </w:pPr>
      <w:r w:rsidRPr="007155C6">
        <w:rPr>
          <w:rFonts w:ascii="Times New Roman" w:hAnsi="Times New Roman"/>
          <w:bCs/>
          <w:iCs/>
          <w:sz w:val="28"/>
          <w:szCs w:val="28"/>
          <w:lang w:val="pl-PL"/>
        </w:rPr>
        <w:t xml:space="preserve">Большое количество данных по беременным женщинам (более 8 700 женщин), получавших монотерапию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ламотриджином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  <w:lang w:val="pl-PL"/>
        </w:rPr>
        <w:t xml:space="preserve"> в первом триместре беременности, не подтверждают общего увеличения риска возникновения серьезных врожденных пороков развития, включая расщелины верхней губы и неба. В исследованиях на животных выявлено токсическое влияние на внутриутробное развитие</w:t>
      </w:r>
      <w:r w:rsidR="005A65B3">
        <w:rPr>
          <w:rFonts w:ascii="Times New Roman" w:hAnsi="Times New Roman"/>
          <w:bCs/>
          <w:iCs/>
          <w:sz w:val="28"/>
          <w:szCs w:val="28"/>
        </w:rPr>
        <w:t>.</w:t>
      </w:r>
      <w:r w:rsidRPr="007155C6">
        <w:rPr>
          <w:rFonts w:ascii="Times New Roman" w:hAnsi="Times New Roman"/>
          <w:bCs/>
          <w:iCs/>
          <w:sz w:val="28"/>
          <w:szCs w:val="28"/>
          <w:lang w:val="pl-PL"/>
        </w:rPr>
        <w:t xml:space="preserve"> </w:t>
      </w:r>
    </w:p>
    <w:p w14:paraId="50AF856D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pl-PL"/>
        </w:rPr>
      </w:pPr>
      <w:r w:rsidRPr="007155C6">
        <w:rPr>
          <w:rFonts w:ascii="Times New Roman" w:hAnsi="Times New Roman"/>
          <w:bCs/>
          <w:iCs/>
          <w:sz w:val="28"/>
          <w:szCs w:val="28"/>
          <w:lang w:val="pl-PL"/>
        </w:rPr>
        <w:t xml:space="preserve">Если терапия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ламотриджином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  <w:lang w:val="pl-PL"/>
        </w:rPr>
        <w:t xml:space="preserve"> считается необходимой во время беременности, рекомендуется применять минимально возможную терапевтическую дозу. </w:t>
      </w:r>
    </w:p>
    <w:p w14:paraId="789E9A0F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pl-PL"/>
        </w:rPr>
      </w:pPr>
      <w:r w:rsidRPr="007155C6">
        <w:rPr>
          <w:rFonts w:ascii="Times New Roman" w:hAnsi="Times New Roman"/>
          <w:bCs/>
          <w:iCs/>
          <w:sz w:val="28"/>
          <w:szCs w:val="28"/>
          <w:lang w:val="pl-PL"/>
        </w:rPr>
        <w:t xml:space="preserve">Ламотриджин оказывает слабое ингибирующее влияние на редуктазу дигидрофолиевой кислоты и поэтому теоретически может привести к повышенному риску нарушения развития эмбриона и плода вследствие снижения уровня фолиевой кислоты. Следует рассмотреть возможность приема фолиевой кислоты во время планирования беременности и на ранних стадиях беременности. </w:t>
      </w:r>
    </w:p>
    <w:p w14:paraId="77892E20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155C6">
        <w:rPr>
          <w:rFonts w:ascii="Times New Roman" w:hAnsi="Times New Roman"/>
          <w:bCs/>
          <w:iCs/>
          <w:sz w:val="28"/>
          <w:szCs w:val="28"/>
          <w:lang w:val="pl-PL"/>
        </w:rPr>
        <w:t>Физиологические изменения при беременности могут оказывать влияние на уровень ламотриджина и/или его терапевтический эффект. Имеются сообщения о снижении уровня ламотриджина в плазме крови во время беременности с возможным риском потери контроля припадков. После родов уровень ламотриджина может быстро увеличиваться с риском развития нежелательных реакций, зависящих от дозы. Поэтому уровень ламотриджина в сыворотке крови следует контролировать перед, во время и после беременности, а также сразу после родов. При необходимости следует провести подбор дозы для поддержания уровня ламотриджина в сыворотке крови на том же уровне, что и до беременности, или подобрать дозу в зависимости от клинического ответа. Кроме того, после родов следует контролировать нежелательные реакции, связанные с дозой.</w:t>
      </w:r>
    </w:p>
    <w:p w14:paraId="64BB8B6B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155C6">
        <w:rPr>
          <w:rFonts w:ascii="Times New Roman" w:hAnsi="Times New Roman"/>
          <w:bCs/>
          <w:i/>
          <w:iCs/>
          <w:sz w:val="28"/>
          <w:szCs w:val="28"/>
        </w:rPr>
        <w:t>Грудное вскармливание</w:t>
      </w:r>
    </w:p>
    <w:p w14:paraId="09E06336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155C6">
        <w:rPr>
          <w:rFonts w:ascii="Times New Roman" w:hAnsi="Times New Roman"/>
          <w:bCs/>
          <w:iCs/>
          <w:sz w:val="28"/>
          <w:szCs w:val="28"/>
        </w:rPr>
        <w:t xml:space="preserve">Сообщалось, что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ламотриджин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</w:rPr>
        <w:t xml:space="preserve"> в различной степени проникает в грудное молоко, общий уровень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</w:rPr>
        <w:t xml:space="preserve"> у детей, находящихся на грудном вскармливании, может достигать примерно 50 % от уровня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</w:rPr>
        <w:t>, зарегистрированного у матери. Таким образом, у некоторых детей, находящихся на грудном вскармливании, уровень</w:t>
      </w:r>
    </w:p>
    <w:p w14:paraId="004AD235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</w:rPr>
        <w:t xml:space="preserve"> в сыворотке крови может достигать уровней, при которых проявляются фармакологические эффекты. В ограниченной группе детей грудного возраста, подвергавшихся воздействию препарата, нежелательные реакции не зарегистрированы.</w:t>
      </w:r>
    </w:p>
    <w:p w14:paraId="516EE896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155C6">
        <w:rPr>
          <w:rFonts w:ascii="Times New Roman" w:hAnsi="Times New Roman"/>
          <w:bCs/>
          <w:iCs/>
          <w:sz w:val="28"/>
          <w:szCs w:val="28"/>
        </w:rPr>
        <w:t>Необходимо соотносить потенциальную пользу от кормления грудным молоком и потенциальный риск развития нежелательных реакций у ребенка.</w:t>
      </w:r>
    </w:p>
    <w:p w14:paraId="26DD9837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155C6">
        <w:rPr>
          <w:rFonts w:ascii="Times New Roman" w:hAnsi="Times New Roman"/>
          <w:bCs/>
          <w:iCs/>
          <w:sz w:val="28"/>
          <w:szCs w:val="28"/>
        </w:rPr>
        <w:lastRenderedPageBreak/>
        <w:t xml:space="preserve">Если женщина, принимающая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ламотриджин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</w:rPr>
        <w:t xml:space="preserve">, решает кормить грудью, то у ребенка необходимо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мониторировать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</w:rPr>
        <w:t xml:space="preserve"> появление каких-либо нежелательных реакций.</w:t>
      </w:r>
    </w:p>
    <w:p w14:paraId="1E25300D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155C6">
        <w:rPr>
          <w:rFonts w:ascii="Times New Roman" w:hAnsi="Times New Roman"/>
          <w:bCs/>
          <w:i/>
          <w:iCs/>
          <w:sz w:val="28"/>
          <w:szCs w:val="28"/>
        </w:rPr>
        <w:t>Фертильность</w:t>
      </w:r>
    </w:p>
    <w:p w14:paraId="13B133CC" w14:textId="167EF89E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155C6">
        <w:rPr>
          <w:rFonts w:ascii="Times New Roman" w:hAnsi="Times New Roman"/>
          <w:bCs/>
          <w:iCs/>
          <w:sz w:val="28"/>
          <w:szCs w:val="28"/>
        </w:rPr>
        <w:t xml:space="preserve">Исследования на животных при применении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</w:rPr>
        <w:t xml:space="preserve"> не выявили нарушения фертильности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bookmarkEnd w:id="7"/>
    <w:p w14:paraId="65212DBF" w14:textId="77777777" w:rsidR="00CD1248" w:rsidRPr="00CD1248" w:rsidRDefault="00CD1248" w:rsidP="0095249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Особенности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влияния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лекарственного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средства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на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способность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управлять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транспортным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средством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или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потенциально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опасными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механизмами</w:t>
      </w:r>
      <w:proofErr w:type="spellEnd"/>
    </w:p>
    <w:p w14:paraId="50E7D188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155C6">
        <w:rPr>
          <w:rFonts w:ascii="Times New Roman" w:hAnsi="Times New Roman"/>
          <w:bCs/>
          <w:iCs/>
          <w:sz w:val="28"/>
          <w:szCs w:val="28"/>
        </w:rPr>
        <w:t xml:space="preserve">Так как эффект всех противоэпилептических средств характеризуется индивидуальной вариабельностью, то пациенты, принимающие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ламотриждин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</w:rPr>
        <w:t xml:space="preserve"> для лечения эпилепсии, должны проконсультироваться со своим врачом о специфических сложностях при вождении автомобиля.</w:t>
      </w:r>
    </w:p>
    <w:p w14:paraId="685E3E92" w14:textId="77777777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155C6">
        <w:rPr>
          <w:rFonts w:ascii="Times New Roman" w:hAnsi="Times New Roman"/>
          <w:bCs/>
          <w:iCs/>
          <w:sz w:val="28"/>
          <w:szCs w:val="28"/>
        </w:rPr>
        <w:t xml:space="preserve">Исследования по оценке влияния препарата на способность к управлению транспортными средствами и работы с механизмами не проводились. В двух исследованиях с участием здоровых добровольцев показано, что влияние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</w:rPr>
        <w:t xml:space="preserve"> на точную зрительно-моторную координацию, движения глаз, качание тела, а также субъективное седативное действие препарата не отличалось от плацебо. В клинических исследованиях </w:t>
      </w:r>
      <w:proofErr w:type="spellStart"/>
      <w:r w:rsidRPr="007155C6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7155C6">
        <w:rPr>
          <w:rFonts w:ascii="Times New Roman" w:hAnsi="Times New Roman"/>
          <w:bCs/>
          <w:iCs/>
          <w:sz w:val="28"/>
          <w:szCs w:val="28"/>
        </w:rPr>
        <w:t xml:space="preserve"> зарегистрированы сообщения о нежелательных реакциях</w:t>
      </w:r>
    </w:p>
    <w:p w14:paraId="6B70ECC1" w14:textId="58DB1E7F" w:rsidR="007155C6" w:rsidRPr="007155C6" w:rsidRDefault="007155C6" w:rsidP="007155C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155C6">
        <w:rPr>
          <w:rFonts w:ascii="Times New Roman" w:hAnsi="Times New Roman"/>
          <w:bCs/>
          <w:iCs/>
          <w:sz w:val="28"/>
          <w:szCs w:val="28"/>
        </w:rPr>
        <w:t xml:space="preserve">неврологического характера, таких как головокружение и диплопия. Поэтому </w:t>
      </w:r>
      <w:bookmarkStart w:id="8" w:name="_Hlk10469394"/>
      <w:r w:rsidRPr="007155C6">
        <w:rPr>
          <w:rFonts w:ascii="Times New Roman" w:hAnsi="Times New Roman"/>
          <w:bCs/>
          <w:iCs/>
          <w:sz w:val="28"/>
          <w:szCs w:val="28"/>
        </w:rPr>
        <w:t>прежде, чем приступить к управлению автомобилем или механизмами, пациенты должны</w:t>
      </w:r>
      <w:r w:rsidR="004410FA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7155C6">
        <w:rPr>
          <w:rFonts w:ascii="Times New Roman" w:hAnsi="Times New Roman"/>
          <w:bCs/>
          <w:iCs/>
          <w:sz w:val="28"/>
          <w:szCs w:val="28"/>
        </w:rPr>
        <w:t>оценить влияние препарата ЛАНИСТОР</w:t>
      </w:r>
      <w:r w:rsidR="004410FA"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7155C6">
        <w:rPr>
          <w:rFonts w:ascii="Times New Roman" w:hAnsi="Times New Roman"/>
          <w:bCs/>
          <w:iCs/>
          <w:sz w:val="28"/>
          <w:szCs w:val="28"/>
        </w:rPr>
        <w:t xml:space="preserve"> на свое состояние.</w:t>
      </w:r>
    </w:p>
    <w:bookmarkEnd w:id="8"/>
    <w:p w14:paraId="1E9A709C" w14:textId="77777777" w:rsidR="00DF14CB" w:rsidRPr="00DF14CB" w:rsidRDefault="00DF14CB" w:rsidP="00DF14CB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14:paraId="25DEC593" w14:textId="77777777" w:rsidR="00DB406A" w:rsidRPr="009C18D6" w:rsidRDefault="00DB406A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применению</w:t>
      </w:r>
    </w:p>
    <w:p w14:paraId="6E4E5504" w14:textId="77777777" w:rsidR="00C4106C" w:rsidRDefault="00C4106C" w:rsidP="00DF14C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9" w:name="2175220278"/>
      <w:r w:rsidRPr="00BE307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Режим дозирования </w:t>
      </w:r>
    </w:p>
    <w:p w14:paraId="4DCEA43A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/>
          <w:bCs/>
          <w:i/>
          <w:iCs/>
          <w:sz w:val="28"/>
          <w:szCs w:val="28"/>
        </w:rPr>
        <w:t>Эпилепсия</w:t>
      </w:r>
    </w:p>
    <w:p w14:paraId="0B7F2608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Монотерапия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у взрослых и подростков старше 13 лет</w:t>
      </w:r>
    </w:p>
    <w:p w14:paraId="27E2B608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Начальная максимальная суточная 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при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монотерапии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составляет 25 мг один раз в сутки в течение 2 недель, в дальнейшем дозу следует увеличивать максимум на 50-100 мг каждые 1-2 недели, до достижения оптимального терапевтического эффекта и оптимальной поддерживающей дозы. Стандартная поддерживающая доза составляет 100-200 мг в сутки, принимаемые в один или два приема. Некоторым пациентам для достижения терапевтического эффекта требуемая  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составляет 500 мг/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сут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.</w:t>
      </w:r>
    </w:p>
    <w:p w14:paraId="3F6E226E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Комбинированная терапия у взрослых и подростков старше 13 лет</w:t>
      </w:r>
    </w:p>
    <w:p w14:paraId="7F2BA169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Терапия препаратом ЛАНИСТОР</w:t>
      </w:r>
      <w:r w:rsidRPr="00175E9C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и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вальпроатом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в сочетании с другими противоэпилептическими препаратами (ПЭП) или без них</w:t>
      </w:r>
    </w:p>
    <w:p w14:paraId="47DC35FA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Для пациентов, которые уже получают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вальпроат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в сочетании с другими ПЭП или без них, начальная 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составляет 25 мг через день в течение 2 недель, в дальнейшем - по 25 мг один раз в сутки в течение 2 недель. Затем дозу следует увеличивать максимально на 25-50 мг/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сут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каждые 1-2 недели до достижения оптимального терапевтического </w:t>
      </w:r>
      <w:r w:rsidRPr="00175E9C">
        <w:rPr>
          <w:rFonts w:ascii="Times New Roman" w:hAnsi="Times New Roman"/>
          <w:bCs/>
          <w:iCs/>
          <w:sz w:val="28"/>
          <w:szCs w:val="28"/>
        </w:rPr>
        <w:lastRenderedPageBreak/>
        <w:t>эффекта. Стандартная поддерживающая доза составляет 100-200 мг в сутки, принимаемые в один или два приема.</w:t>
      </w:r>
    </w:p>
    <w:p w14:paraId="660F82F9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Терапия препаратом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в сочетании с другими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антиэпилептическими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препаратами (за исключением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вальпроата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) и препаратами, индуцирующими печеночные ферменты (например,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фенитоин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карбамазепин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фенобарбитал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примидон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рифампицин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лопинавир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>/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ритонавир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) </w:t>
      </w:r>
    </w:p>
    <w:p w14:paraId="7C206B69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Начальная 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175E9C">
        <w:rPr>
          <w:rFonts w:ascii="Times New Roman" w:hAnsi="Times New Roman"/>
          <w:bCs/>
          <w:iCs/>
          <w:sz w:val="28"/>
          <w:szCs w:val="28"/>
        </w:rPr>
        <w:t>составляет 50 мг один раз в сутки в течение 2 недель, в дальнейшем – 100 мг/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сут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, разделенные на два приема, в течение 2 недель. Затем доза увеличивается максимум на 100 мг каждые 1-2 недели, до достижения оптимального терапевтического эффекта. Стандартная поддерживающая доза составляет 200-400 мг в сутки, принимаемая  в два приема. Некоторым пациентам для достижения терапевтического эффекта может потребоваться доза 700 мг/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сут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02C59D00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Терапия препаратом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в сочетании с другими медицинскими препаратами, не оказывающих значимого ингибирующего действия на ферменты печени</w:t>
      </w:r>
    </w:p>
    <w:p w14:paraId="7224B43B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Начальная 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175E9C">
        <w:rPr>
          <w:rFonts w:ascii="Times New Roman" w:hAnsi="Times New Roman"/>
          <w:bCs/>
          <w:iCs/>
          <w:sz w:val="28"/>
          <w:szCs w:val="28"/>
        </w:rPr>
        <w:t>составляет 25 мг один раз в сутки в течение 2 недель, в дальнейшем – 50 мг/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сут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в течение 2 недель. Затем дозу следует увеличивать максимум на 50-100 мг каждые 1-2 недели, до достижения оптимального терапевтического эффекта. Доза препарата может быть увеличена максимум на 50-100 мг каждые 1-2 недели до достижения оптимальной поддерживающей дозы. Стандартная поддерживающая доза составляет 100-200 мг в сутки, принимаемые в один или два приема.</w:t>
      </w:r>
    </w:p>
    <w:p w14:paraId="05233439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Таблица 1. Режим дозирования препарата ЛАНИСТОР</w:t>
      </w:r>
      <w:r w:rsidRPr="00175E9C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 xml:space="preserve">® 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>в лечении эпилепсии у взрослых и подростков старше 13 лет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276"/>
        <w:gridCol w:w="1276"/>
        <w:gridCol w:w="3685"/>
      </w:tblGrid>
      <w:tr w:rsidR="00175E9C" w:rsidRPr="00175E9C" w14:paraId="6489FCB0" w14:textId="77777777" w:rsidTr="00287913">
        <w:trPr>
          <w:trHeight w:val="825"/>
        </w:trPr>
        <w:tc>
          <w:tcPr>
            <w:tcW w:w="3085" w:type="dxa"/>
          </w:tcPr>
          <w:p w14:paraId="329731C5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Терапевтическая схема</w:t>
            </w:r>
          </w:p>
        </w:tc>
        <w:tc>
          <w:tcPr>
            <w:tcW w:w="1276" w:type="dxa"/>
          </w:tcPr>
          <w:p w14:paraId="6D5D1BD8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1+2-ая недели</w:t>
            </w:r>
          </w:p>
        </w:tc>
        <w:tc>
          <w:tcPr>
            <w:tcW w:w="1276" w:type="dxa"/>
          </w:tcPr>
          <w:p w14:paraId="2802200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3+4-ая недели</w:t>
            </w:r>
          </w:p>
        </w:tc>
        <w:tc>
          <w:tcPr>
            <w:tcW w:w="3685" w:type="dxa"/>
          </w:tcPr>
          <w:p w14:paraId="7493C8C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Стандартная поддерживающая доза</w:t>
            </w:r>
          </w:p>
        </w:tc>
      </w:tr>
      <w:tr w:rsidR="00175E9C" w:rsidRPr="00175E9C" w14:paraId="3CE6CAAD" w14:textId="77777777" w:rsidTr="00287913">
        <w:tc>
          <w:tcPr>
            <w:tcW w:w="3085" w:type="dxa"/>
          </w:tcPr>
          <w:p w14:paraId="1CAFE4F3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</w:pPr>
            <w:proofErr w:type="spellStart"/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>Монотерапия</w:t>
            </w:r>
            <w:proofErr w:type="spellEnd"/>
          </w:p>
        </w:tc>
        <w:tc>
          <w:tcPr>
            <w:tcW w:w="1276" w:type="dxa"/>
          </w:tcPr>
          <w:p w14:paraId="22EEFF2B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25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45BFD3A3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раз в день)</w:t>
            </w:r>
          </w:p>
        </w:tc>
        <w:tc>
          <w:tcPr>
            <w:tcW w:w="1276" w:type="dxa"/>
          </w:tcPr>
          <w:p w14:paraId="6B26E4D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50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4E25D0A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раз в день)</w:t>
            </w:r>
          </w:p>
        </w:tc>
        <w:tc>
          <w:tcPr>
            <w:tcW w:w="3685" w:type="dxa"/>
          </w:tcPr>
          <w:p w14:paraId="1BC2EB6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100 – 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14:paraId="1FCD28CE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</w:t>
            </w:r>
          </w:p>
          <w:p w14:paraId="1CA339A2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Доза увеличивается на 50-100 мг каждые 1-2 недели до достижения оптимальной поддерживающей дозы.</w:t>
            </w:r>
          </w:p>
        </w:tc>
      </w:tr>
      <w:tr w:rsidR="00175E9C" w:rsidRPr="00175E9C" w14:paraId="247633EC" w14:textId="77777777" w:rsidTr="00287913">
        <w:trPr>
          <w:trHeight w:val="394"/>
        </w:trPr>
        <w:tc>
          <w:tcPr>
            <w:tcW w:w="9322" w:type="dxa"/>
            <w:gridSpan w:val="4"/>
          </w:tcPr>
          <w:p w14:paraId="7CFA2BFB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75E9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 xml:space="preserve">Комбинированная терапия с </w:t>
            </w:r>
            <w:proofErr w:type="spellStart"/>
            <w:r w:rsidRPr="00175E9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вальпроатом</w:t>
            </w:r>
            <w:proofErr w:type="spellEnd"/>
          </w:p>
        </w:tc>
      </w:tr>
      <w:tr w:rsidR="00175E9C" w:rsidRPr="00175E9C" w14:paraId="79EA22E3" w14:textId="77777777" w:rsidTr="00287913">
        <w:trPr>
          <w:trHeight w:val="1793"/>
        </w:trPr>
        <w:tc>
          <w:tcPr>
            <w:tcW w:w="3085" w:type="dxa"/>
          </w:tcPr>
          <w:p w14:paraId="65B2A26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Этот режим дозирования используется в сочетании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вальпроатом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, независимо от приема других лекарственных средств</w:t>
            </w:r>
          </w:p>
        </w:tc>
        <w:tc>
          <w:tcPr>
            <w:tcW w:w="1276" w:type="dxa"/>
          </w:tcPr>
          <w:p w14:paraId="110D0FB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12,5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3D202E6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(или по 25 мг через день)</w:t>
            </w:r>
          </w:p>
        </w:tc>
        <w:tc>
          <w:tcPr>
            <w:tcW w:w="1276" w:type="dxa"/>
          </w:tcPr>
          <w:p w14:paraId="16A1003C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25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3992B6F8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раз в день)</w:t>
            </w:r>
          </w:p>
        </w:tc>
        <w:tc>
          <w:tcPr>
            <w:tcW w:w="3685" w:type="dxa"/>
          </w:tcPr>
          <w:p w14:paraId="4C82124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100 – 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3503DA8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</w:t>
            </w:r>
          </w:p>
          <w:p w14:paraId="6FE3316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Доза увеличивается на 25-50 мг каждые 1-2 недели до достижения оптимальной поддерживающей дозы.</w:t>
            </w:r>
          </w:p>
        </w:tc>
      </w:tr>
      <w:tr w:rsidR="00175E9C" w:rsidRPr="00175E9C" w14:paraId="66B923C4" w14:textId="77777777" w:rsidTr="00287913">
        <w:trPr>
          <w:trHeight w:val="750"/>
        </w:trPr>
        <w:tc>
          <w:tcPr>
            <w:tcW w:w="9322" w:type="dxa"/>
            <w:gridSpan w:val="4"/>
          </w:tcPr>
          <w:p w14:paraId="264957C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75E9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lastRenderedPageBreak/>
              <w:t xml:space="preserve">Комбинированная терапия с другими </w:t>
            </w:r>
            <w:proofErr w:type="spellStart"/>
            <w:r w:rsidRPr="00175E9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антиэпилептическими</w:t>
            </w:r>
            <w:proofErr w:type="spellEnd"/>
            <w:r w:rsidRPr="00175E9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 xml:space="preserve"> препаратами (за исключением </w:t>
            </w:r>
            <w:proofErr w:type="spellStart"/>
            <w:r w:rsidRPr="00175E9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вальпроата</w:t>
            </w:r>
            <w:proofErr w:type="spellEnd"/>
            <w:r w:rsidRPr="00175E9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 xml:space="preserve">) и препаратами, индуцирующими печеночные ферменты </w:t>
            </w:r>
          </w:p>
        </w:tc>
      </w:tr>
      <w:tr w:rsidR="00175E9C" w:rsidRPr="00175E9C" w14:paraId="2DEC519F" w14:textId="77777777" w:rsidTr="00287913">
        <w:trPr>
          <w:trHeight w:val="1529"/>
        </w:trPr>
        <w:tc>
          <w:tcPr>
            <w:tcW w:w="3085" w:type="dxa"/>
          </w:tcPr>
          <w:p w14:paraId="679DF21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Комбинированная терапия </w:t>
            </w:r>
          </w:p>
          <w:p w14:paraId="315C442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фенитоин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карбамазепин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фенобарбитал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примидон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рифампицин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лопинавир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ритонавир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14:paraId="3BB04F8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50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75E8F94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раз в день)</w:t>
            </w:r>
          </w:p>
        </w:tc>
        <w:tc>
          <w:tcPr>
            <w:tcW w:w="1276" w:type="dxa"/>
          </w:tcPr>
          <w:p w14:paraId="05B06BA5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5C1E51D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(два раза в день)</w:t>
            </w:r>
          </w:p>
        </w:tc>
        <w:tc>
          <w:tcPr>
            <w:tcW w:w="3685" w:type="dxa"/>
          </w:tcPr>
          <w:p w14:paraId="12356D3C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– 400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. </w:t>
            </w:r>
          </w:p>
          <w:p w14:paraId="26AC540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(два раза в день)</w:t>
            </w:r>
          </w:p>
          <w:p w14:paraId="3C1FE04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Доза увеличивается на 100 мг каждые 1-2 недели до достижения оптимальной поддерживающей дозы.</w:t>
            </w:r>
          </w:p>
        </w:tc>
      </w:tr>
      <w:tr w:rsidR="00175E9C" w:rsidRPr="00175E9C" w14:paraId="5E4C79D0" w14:textId="77777777" w:rsidTr="00287913">
        <w:trPr>
          <w:trHeight w:val="679"/>
        </w:trPr>
        <w:tc>
          <w:tcPr>
            <w:tcW w:w="9322" w:type="dxa"/>
            <w:gridSpan w:val="4"/>
          </w:tcPr>
          <w:p w14:paraId="5E041953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 xml:space="preserve">Комбинированная терапия с другими препаратами, не влияющими на печеночные ферменты </w:t>
            </w:r>
          </w:p>
        </w:tc>
      </w:tr>
      <w:tr w:rsidR="00175E9C" w:rsidRPr="00175E9C" w14:paraId="52BFD337" w14:textId="77777777" w:rsidTr="00287913">
        <w:trPr>
          <w:trHeight w:val="2091"/>
        </w:trPr>
        <w:tc>
          <w:tcPr>
            <w:tcW w:w="3085" w:type="dxa"/>
          </w:tcPr>
          <w:p w14:paraId="36EA19A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Этот режим дозирования используется при приеме других медицинских препаратов, не оказывающих значимого ингибирующего действия на печеночные ферменты</w:t>
            </w:r>
          </w:p>
        </w:tc>
        <w:tc>
          <w:tcPr>
            <w:tcW w:w="1276" w:type="dxa"/>
          </w:tcPr>
          <w:p w14:paraId="4DE6BD2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25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27F3AF2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раз в день)</w:t>
            </w:r>
          </w:p>
        </w:tc>
        <w:tc>
          <w:tcPr>
            <w:tcW w:w="1276" w:type="dxa"/>
          </w:tcPr>
          <w:p w14:paraId="4A933C2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50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0D77FEA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раз в день)</w:t>
            </w:r>
          </w:p>
        </w:tc>
        <w:tc>
          <w:tcPr>
            <w:tcW w:w="3685" w:type="dxa"/>
          </w:tcPr>
          <w:p w14:paraId="4F716658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100 – 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4C702CB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</w:t>
            </w:r>
          </w:p>
          <w:p w14:paraId="06702DCB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14:paraId="189978E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Доза увеличивается на 50-100 мг каждые 1-2 недели до достижения оптимальной поддерживающей дозы.</w:t>
            </w:r>
          </w:p>
        </w:tc>
      </w:tr>
      <w:tr w:rsidR="00175E9C" w:rsidRPr="00175E9C" w14:paraId="2C45F68E" w14:textId="77777777" w:rsidTr="00287913">
        <w:trPr>
          <w:trHeight w:val="1108"/>
        </w:trPr>
        <w:tc>
          <w:tcPr>
            <w:tcW w:w="9322" w:type="dxa"/>
            <w:gridSpan w:val="4"/>
          </w:tcPr>
          <w:p w14:paraId="2416BFA5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Другие препараты</w:t>
            </w:r>
          </w:p>
          <w:p w14:paraId="17C2EE8B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У пациентов, принимающих противосудорожные препараты, взаимодействие которых с препаратом ЛАНИСТОР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 xml:space="preserve">® 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неизвестно, рекомендуют применять такую же схему увеличения доз как для пациентов, принимающих ЛАНИСТОР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>®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вальпроатом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натрия.</w:t>
            </w:r>
          </w:p>
        </w:tc>
      </w:tr>
    </w:tbl>
    <w:p w14:paraId="131077EF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Во избежание появления сыпи начальная доза и последующие дозы не должны превышать рекомендованные.</w:t>
      </w:r>
    </w:p>
    <w:p w14:paraId="79D5D733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Дети от 2 до 12 лет</w:t>
      </w:r>
    </w:p>
    <w:p w14:paraId="1BADB564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зависит от веса ребенка. </w:t>
      </w:r>
    </w:p>
    <w:p w14:paraId="72148C86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Монотерапия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препаратом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типичных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абсансов</w:t>
      </w:r>
      <w:proofErr w:type="spellEnd"/>
    </w:p>
    <w:p w14:paraId="195FF0A9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Начальная 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составляет 0,3 мг/кг/день, принимаемая  в один или два приема в течение 2 недель; в дальнейшем - 0,6 мг/кг/день, также в один или два приема в течение следующих 2 недель. Доза препарата может быть увеличена максимум на 0,6 мг/кг/день каждые 1-2 недели до достижения оптимальной поддерживающей дозы. Стандартная поддерживающая доза составляет 1-10 мг/кг в сутки, принимаемая  в один или в два приема. </w:t>
      </w:r>
    </w:p>
    <w:p w14:paraId="10A0402A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Во избежание появления сыпи начальная доза и последующие дозы не должны превышать рекомендованные.</w:t>
      </w:r>
    </w:p>
    <w:p w14:paraId="6ECA4AA5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Комбинированная терапия эпилепсии у детей от 2 до 12 лет</w:t>
      </w:r>
    </w:p>
    <w:p w14:paraId="619E8F67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lastRenderedPageBreak/>
        <w:t>Терапия препаратом ЛАНИСТОР</w:t>
      </w:r>
      <w:r w:rsidRPr="00175E9C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и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вальпроатом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в сочетании с другими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антиэпилептическими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препаратами или без них</w:t>
      </w:r>
    </w:p>
    <w:p w14:paraId="1AF05F2D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Начальная 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составляет 0,15 мг/кг один раз в сутки в течение 2 недель, в дальнейшем - 0,3 мг/кг в сутки в один прием в течение 2 недель. Затем доза должна быть увеличена максимально на 0,3 мг/кг каждые 1-2 недели, до достижения оптимального терапевтического эффекта,  стандартная поддерживающая доза при этом составляет 1-5 мг/кг в сутки в один или в два приема. Максимальная суточная доза - 200 мг/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сут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.</w:t>
      </w:r>
    </w:p>
    <w:p w14:paraId="12800563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Терапия препаратом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с другими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антиэпилептическими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препаратами (за исключением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вальпроата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) и лекарственными препаратами, индуцирующими печеночные ферменты </w:t>
      </w:r>
    </w:p>
    <w:p w14:paraId="545B57BE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Начальная 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175E9C">
        <w:rPr>
          <w:rFonts w:ascii="Times New Roman" w:hAnsi="Times New Roman"/>
          <w:bCs/>
          <w:iCs/>
          <w:sz w:val="28"/>
          <w:szCs w:val="28"/>
        </w:rPr>
        <w:t>составляет 0,6 мг/кг в сутки, принимаемая в два приема в течение 2 недель; в дальнейшем – 1,2 мг/кг массы тела в сутки в два приема в течение 2 недель. Затем дозу следует увеличивать на 1,2 мг/кг каждые 1-2 недели, до достижения оптимального терапевтического эффекта. Стандартная поддерживающая доза составляет 5-15 мг/кг в сутки в два приема. Максимальная суточная доза - 400 мг/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сут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4F41F761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Терапия препаратом ЛАНИСТОР</w:t>
      </w:r>
      <w:r w:rsidRPr="00175E9C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в сочетании с другими медицинскими препаратами, не оказывающих значимого ингибирующего действия на ферменты печени</w:t>
      </w:r>
    </w:p>
    <w:p w14:paraId="30BC1889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Начальная 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составляет 0,3 мг/кг/день, принимаемая  в один или два приема в течение 2 недель; в дальнейшем - 0,6 мг/кг/день, также в один или два приема в течение следующих 2 недель. Доза препарата может быть увеличена максимум на 0,6 мг/кг/день каждые 1-2 недели до достижения оптимальной поддерживающей дозы. Стандартная поддерживающая доза составляет 1-10 мг/кг в сутки, принимаемая  в один или в два приема. Максимальная суточная доза - 200 мг/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сут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3B060082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Для детей в возрасте от 2 до 6 лет при назначении поддерживающей дозы рекомендуется применение максимальных доз в рекомендованных пределах дозирования.</w:t>
      </w:r>
    </w:p>
    <w:p w14:paraId="704E52AA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Таблица 2. Режим дозирования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 xml:space="preserve">® 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>в лечении эпилепсии у детей от 2 до 12 лет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560"/>
        <w:gridCol w:w="283"/>
        <w:gridCol w:w="1276"/>
        <w:gridCol w:w="142"/>
        <w:gridCol w:w="3827"/>
      </w:tblGrid>
      <w:tr w:rsidR="00175E9C" w:rsidRPr="00175E9C" w14:paraId="78B77524" w14:textId="77777777" w:rsidTr="00287913">
        <w:tc>
          <w:tcPr>
            <w:tcW w:w="2376" w:type="dxa"/>
          </w:tcPr>
          <w:p w14:paraId="07C642F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Терапевтическая схема</w:t>
            </w:r>
          </w:p>
        </w:tc>
        <w:tc>
          <w:tcPr>
            <w:tcW w:w="1560" w:type="dxa"/>
          </w:tcPr>
          <w:p w14:paraId="5C04A7DE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1+2-ая недели</w:t>
            </w:r>
          </w:p>
        </w:tc>
        <w:tc>
          <w:tcPr>
            <w:tcW w:w="1559" w:type="dxa"/>
            <w:gridSpan w:val="2"/>
          </w:tcPr>
          <w:p w14:paraId="39A8E63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3+4-ая недели</w:t>
            </w:r>
          </w:p>
        </w:tc>
        <w:tc>
          <w:tcPr>
            <w:tcW w:w="3969" w:type="dxa"/>
            <w:gridSpan w:val="2"/>
          </w:tcPr>
          <w:p w14:paraId="1F93808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Стандартная поддерживающая доза</w:t>
            </w:r>
          </w:p>
        </w:tc>
      </w:tr>
      <w:tr w:rsidR="00175E9C" w:rsidRPr="00175E9C" w14:paraId="050CC127" w14:textId="77777777" w:rsidTr="00287913">
        <w:tc>
          <w:tcPr>
            <w:tcW w:w="2376" w:type="dxa"/>
          </w:tcPr>
          <w:p w14:paraId="3115D0B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</w:pPr>
            <w:proofErr w:type="spellStart"/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>Монотерапия</w:t>
            </w:r>
            <w:proofErr w:type="spellEnd"/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 xml:space="preserve"> типичных </w:t>
            </w:r>
            <w:proofErr w:type="spellStart"/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>абсансов</w:t>
            </w:r>
            <w:proofErr w:type="spellEnd"/>
          </w:p>
        </w:tc>
        <w:tc>
          <w:tcPr>
            <w:tcW w:w="1560" w:type="dxa"/>
          </w:tcPr>
          <w:p w14:paraId="2CF44F2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0,3 мг/кг/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338D42C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</w:t>
            </w:r>
          </w:p>
        </w:tc>
        <w:tc>
          <w:tcPr>
            <w:tcW w:w="1559" w:type="dxa"/>
            <w:gridSpan w:val="2"/>
          </w:tcPr>
          <w:p w14:paraId="4D472A8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0,6 мг/кг/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3E364D6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</w:t>
            </w:r>
          </w:p>
        </w:tc>
        <w:tc>
          <w:tcPr>
            <w:tcW w:w="3969" w:type="dxa"/>
            <w:gridSpan w:val="2"/>
          </w:tcPr>
          <w:p w14:paraId="444497F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1-10 мг/кг/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16871BB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</w:t>
            </w:r>
          </w:p>
          <w:p w14:paraId="583E7F9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Доза препарата может быть увеличена максимум на 0,6 мг/кг/день каждые 1-2 недели до достижения оптимальной поддерживающей дозы. </w:t>
            </w:r>
          </w:p>
          <w:p w14:paraId="70B27ED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Максимальная суточная доза – </w:t>
            </w:r>
          </w:p>
          <w:p w14:paraId="0AB962B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мг в сутки</w:t>
            </w:r>
          </w:p>
        </w:tc>
      </w:tr>
      <w:tr w:rsidR="00175E9C" w:rsidRPr="00175E9C" w14:paraId="134F24BE" w14:textId="77777777" w:rsidTr="00287913">
        <w:trPr>
          <w:trHeight w:val="95"/>
        </w:trPr>
        <w:tc>
          <w:tcPr>
            <w:tcW w:w="9464" w:type="dxa"/>
            <w:gridSpan w:val="6"/>
          </w:tcPr>
          <w:p w14:paraId="555AB142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lastRenderedPageBreak/>
              <w:t xml:space="preserve">Комбинированная терапия с </w:t>
            </w:r>
            <w:proofErr w:type="spellStart"/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>вальпроатом</w:t>
            </w:r>
            <w:proofErr w:type="spellEnd"/>
          </w:p>
        </w:tc>
      </w:tr>
      <w:tr w:rsidR="00175E9C" w:rsidRPr="00175E9C" w14:paraId="20F04BDE" w14:textId="77777777" w:rsidTr="00287913">
        <w:trPr>
          <w:trHeight w:val="2234"/>
        </w:trPr>
        <w:tc>
          <w:tcPr>
            <w:tcW w:w="2376" w:type="dxa"/>
          </w:tcPr>
          <w:p w14:paraId="5E4158D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Этот режим дозирования используется в сочетании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вальпроатом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, независимо от приема других лекарственных средств</w:t>
            </w:r>
          </w:p>
        </w:tc>
        <w:tc>
          <w:tcPr>
            <w:tcW w:w="1843" w:type="dxa"/>
            <w:gridSpan w:val="2"/>
          </w:tcPr>
          <w:p w14:paraId="0BFA7625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0,15 мг/кг/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*</w:t>
            </w:r>
          </w:p>
          <w:p w14:paraId="22931FD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раз в день)</w:t>
            </w:r>
          </w:p>
        </w:tc>
        <w:tc>
          <w:tcPr>
            <w:tcW w:w="1418" w:type="dxa"/>
            <w:gridSpan w:val="2"/>
          </w:tcPr>
          <w:p w14:paraId="01395001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0,3 мг/кг/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0EBEE22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раз в день)</w:t>
            </w:r>
          </w:p>
        </w:tc>
        <w:tc>
          <w:tcPr>
            <w:tcW w:w="3827" w:type="dxa"/>
          </w:tcPr>
          <w:p w14:paraId="4BF59C1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1-5 мг/кг/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28725273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</w:t>
            </w:r>
          </w:p>
          <w:p w14:paraId="44D1BC0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Доза препарата может быть увеличена максимум на 0,3 мг/кг/день каждые 1-2 недели до достижения оптимальной поддерживающей дозы. </w:t>
            </w:r>
          </w:p>
          <w:p w14:paraId="3D271F8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Максимальная суточная доза – 200 мг в сутки </w:t>
            </w:r>
          </w:p>
        </w:tc>
      </w:tr>
      <w:tr w:rsidR="00175E9C" w:rsidRPr="00175E9C" w14:paraId="06F4D46C" w14:textId="77777777" w:rsidTr="00287913">
        <w:trPr>
          <w:trHeight w:val="245"/>
        </w:trPr>
        <w:tc>
          <w:tcPr>
            <w:tcW w:w="9464" w:type="dxa"/>
            <w:gridSpan w:val="6"/>
          </w:tcPr>
          <w:p w14:paraId="3D9B395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 xml:space="preserve">Комбинированная терапия с другими </w:t>
            </w:r>
            <w:proofErr w:type="spellStart"/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>антиэпилептическими</w:t>
            </w:r>
            <w:proofErr w:type="spellEnd"/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 xml:space="preserve"> препаратами (за исключением </w:t>
            </w:r>
            <w:proofErr w:type="spellStart"/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>вальпроата</w:t>
            </w:r>
            <w:proofErr w:type="spellEnd"/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 xml:space="preserve">) и </w:t>
            </w:r>
            <w:proofErr w:type="gramStart"/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>препаратами</w:t>
            </w:r>
            <w:proofErr w:type="gramEnd"/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 xml:space="preserve"> индуцирующими печеночные ферменты </w:t>
            </w:r>
          </w:p>
        </w:tc>
      </w:tr>
      <w:tr w:rsidR="00175E9C" w:rsidRPr="00175E9C" w14:paraId="27925C79" w14:textId="77777777" w:rsidTr="00287913">
        <w:trPr>
          <w:trHeight w:val="1692"/>
        </w:trPr>
        <w:tc>
          <w:tcPr>
            <w:tcW w:w="2376" w:type="dxa"/>
          </w:tcPr>
          <w:p w14:paraId="7985DDB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Этот режим дозирования используется в комбинации, например, с препаратами</w:t>
            </w:r>
          </w:p>
          <w:p w14:paraId="1F97B54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фенитоин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карбамазепин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фенобарбитал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примидон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рифампицин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лопинавир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ритонавир</w:t>
            </w:r>
            <w:proofErr w:type="spellEnd"/>
          </w:p>
        </w:tc>
        <w:tc>
          <w:tcPr>
            <w:tcW w:w="1843" w:type="dxa"/>
            <w:gridSpan w:val="2"/>
          </w:tcPr>
          <w:p w14:paraId="1A136D0C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0,6 мг/кг/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764B149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(два раза в день)</w:t>
            </w:r>
          </w:p>
        </w:tc>
        <w:tc>
          <w:tcPr>
            <w:tcW w:w="1418" w:type="dxa"/>
            <w:gridSpan w:val="2"/>
          </w:tcPr>
          <w:p w14:paraId="3960C2C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1,2 мг/кг/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501D773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(два раза в день)</w:t>
            </w:r>
          </w:p>
        </w:tc>
        <w:tc>
          <w:tcPr>
            <w:tcW w:w="3827" w:type="dxa"/>
          </w:tcPr>
          <w:p w14:paraId="1572EC1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5-15 мг/кг/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74D8254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</w:t>
            </w:r>
          </w:p>
          <w:p w14:paraId="231A85A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14:paraId="4B8663DC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Доза препарата может быть увеличена максимум на 1,2 мг/кг/день каждые 1-2 недели до достижения оптимальной поддерживающей дозы. </w:t>
            </w:r>
          </w:p>
          <w:p w14:paraId="7DB1C2F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Максимальная суточная доза – 400 мг в сутки</w:t>
            </w:r>
          </w:p>
        </w:tc>
      </w:tr>
      <w:tr w:rsidR="00175E9C" w:rsidRPr="00175E9C" w14:paraId="4E463FAA" w14:textId="77777777" w:rsidTr="00287913">
        <w:trPr>
          <w:trHeight w:val="269"/>
        </w:trPr>
        <w:tc>
          <w:tcPr>
            <w:tcW w:w="9464" w:type="dxa"/>
            <w:gridSpan w:val="6"/>
          </w:tcPr>
          <w:p w14:paraId="34F24B7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 xml:space="preserve">Комбинированная терапия с другими препаратами, не влияющими на печеночные ферменты </w:t>
            </w:r>
          </w:p>
        </w:tc>
      </w:tr>
      <w:tr w:rsidR="00175E9C" w:rsidRPr="00175E9C" w14:paraId="5C35150D" w14:textId="77777777" w:rsidTr="00287913">
        <w:trPr>
          <w:trHeight w:val="2022"/>
        </w:trPr>
        <w:tc>
          <w:tcPr>
            <w:tcW w:w="2376" w:type="dxa"/>
          </w:tcPr>
          <w:p w14:paraId="78054D5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Этот режим дозирования используется при приеме других медицинских препаратов, не оказывающих значимого ингибирующего действия на печеночные ферменты</w:t>
            </w:r>
          </w:p>
        </w:tc>
        <w:tc>
          <w:tcPr>
            <w:tcW w:w="1843" w:type="dxa"/>
            <w:gridSpan w:val="2"/>
          </w:tcPr>
          <w:p w14:paraId="7E7635E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0,3 мг/кг/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18001EEB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</w:t>
            </w:r>
          </w:p>
        </w:tc>
        <w:tc>
          <w:tcPr>
            <w:tcW w:w="1418" w:type="dxa"/>
            <w:gridSpan w:val="2"/>
          </w:tcPr>
          <w:p w14:paraId="57AED20B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0,6 мг/кг/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68BCE46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</w:t>
            </w:r>
          </w:p>
        </w:tc>
        <w:tc>
          <w:tcPr>
            <w:tcW w:w="3827" w:type="dxa"/>
          </w:tcPr>
          <w:p w14:paraId="31945A81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1-10 мг/кг/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2360DB1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день).</w:t>
            </w:r>
          </w:p>
          <w:p w14:paraId="55C194C3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14:paraId="7E74D86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Доза препарата может быть увеличена максимум на 0,6 мг/кг/день каждые 1-2 недели до достижения оптимальной поддерживающей дозы. </w:t>
            </w:r>
          </w:p>
          <w:p w14:paraId="639EBFE8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Максимальная суточная доза – 200 мг в сутки</w:t>
            </w:r>
          </w:p>
        </w:tc>
      </w:tr>
      <w:tr w:rsidR="00175E9C" w:rsidRPr="00175E9C" w14:paraId="59EECF37" w14:textId="77777777" w:rsidTr="00287913">
        <w:trPr>
          <w:trHeight w:val="1108"/>
        </w:trPr>
        <w:tc>
          <w:tcPr>
            <w:tcW w:w="9464" w:type="dxa"/>
            <w:gridSpan w:val="6"/>
          </w:tcPr>
          <w:p w14:paraId="7B757188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Другие препараты</w:t>
            </w:r>
          </w:p>
          <w:p w14:paraId="63915821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У детей, принимающих противосудорожные препараты, взаимодействие которых с препаратом ЛАНИСТОР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>®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неизвестно, рекомендуют применять такую же схему увеличения доз как для пациентов, принимающих ЛАНИСТОР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>®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вальпроатом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натрия.</w:t>
            </w:r>
          </w:p>
        </w:tc>
      </w:tr>
      <w:tr w:rsidR="00175E9C" w:rsidRPr="00175E9C" w14:paraId="6DE04D8F" w14:textId="77777777" w:rsidTr="00287913">
        <w:trPr>
          <w:trHeight w:val="1108"/>
        </w:trPr>
        <w:tc>
          <w:tcPr>
            <w:tcW w:w="9464" w:type="dxa"/>
            <w:gridSpan w:val="6"/>
          </w:tcPr>
          <w:p w14:paraId="39905A08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* если</w:t>
            </w: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расчетная суточная доза у пациентов, принимающих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вальпроат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, 1 – 2 мг/сутки, то допускается прием препарата ЛАНИСТОР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>®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2 мг/сутки через день в течение первых двух недель. </w:t>
            </w:r>
          </w:p>
          <w:p w14:paraId="71DAB1B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Если расчетная суточная доза при комбинации с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вальпроатом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меньше 1 мг в сутки, то ЛАНИСТОР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>®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назначать не рекомендуется.</w:t>
            </w:r>
          </w:p>
        </w:tc>
      </w:tr>
    </w:tbl>
    <w:p w14:paraId="510C5ADD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6206AA1F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Во избежание появления сыпи начальная доза и последующие дозы не должны превышать рекомендованные.</w:t>
      </w:r>
    </w:p>
    <w:p w14:paraId="34B95F4C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Для обеспечения поддерживающей терапевтической дозы, необходимо контролировать вес ребенка и корректировать дозировку при изменениях веса.</w:t>
      </w:r>
    </w:p>
    <w:p w14:paraId="4689C000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Если эпилептический контроль достигается с применением дополнительного лечения, сопутствующие ПЭП могут быть отменены и пациенты могут продолжать лечение с помощью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монотерапии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, с применением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>.</w:t>
      </w:r>
    </w:p>
    <w:p w14:paraId="2D978E3A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Дети младше 2 лет</w:t>
      </w:r>
    </w:p>
    <w:p w14:paraId="2A3812D3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не рекомендуется для использования у детей младше 2 лет ввиду отсутствия рекомендаций по дозированию препарата у данной возрастной группе.</w:t>
      </w:r>
    </w:p>
    <w:p w14:paraId="4436F4A1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Имеется ограниченное количество данных об эффективности и безопасности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в качестве дополнительной терапии при парциальных припадках у детей в возрасте от 1 месяца до 2 лет. Не представлено никаких данных в отношении детей в возрасте до 1 месяца. </w:t>
      </w:r>
    </w:p>
    <w:p w14:paraId="0B53A560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Биполярные расстройства</w:t>
      </w:r>
    </w:p>
    <w:p w14:paraId="22FC0208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не применяется для лечения биполярных расстройств у лиц  младше 18 лет.</w:t>
      </w:r>
    </w:p>
    <w:p w14:paraId="38E6C28D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Во избежание появления сыпи начальная доза и последующие дозы не должны превышать рекомендованные.</w:t>
      </w:r>
    </w:p>
    <w:p w14:paraId="07C2664E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/>
          <w:bCs/>
          <w:i/>
          <w:iCs/>
          <w:sz w:val="28"/>
          <w:szCs w:val="28"/>
        </w:rPr>
        <w:t>Таблица 3. Режим дозирования при биполярных расстройствах у лиц старше 18 лет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370"/>
        <w:gridCol w:w="1465"/>
        <w:gridCol w:w="1418"/>
        <w:gridCol w:w="2693"/>
      </w:tblGrid>
      <w:tr w:rsidR="00175E9C" w:rsidRPr="00175E9C" w14:paraId="53F3A5DE" w14:textId="77777777" w:rsidTr="00287913">
        <w:tc>
          <w:tcPr>
            <w:tcW w:w="2518" w:type="dxa"/>
          </w:tcPr>
          <w:p w14:paraId="47DB71F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Терапевтическая схема</w:t>
            </w:r>
          </w:p>
        </w:tc>
        <w:tc>
          <w:tcPr>
            <w:tcW w:w="1370" w:type="dxa"/>
          </w:tcPr>
          <w:p w14:paraId="48AFC9F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1-2-ая недели</w:t>
            </w:r>
          </w:p>
        </w:tc>
        <w:tc>
          <w:tcPr>
            <w:tcW w:w="1465" w:type="dxa"/>
          </w:tcPr>
          <w:p w14:paraId="1AE44CF8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3-4-ая недели</w:t>
            </w:r>
          </w:p>
        </w:tc>
        <w:tc>
          <w:tcPr>
            <w:tcW w:w="1418" w:type="dxa"/>
          </w:tcPr>
          <w:p w14:paraId="43699511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5-ая неделя</w:t>
            </w:r>
          </w:p>
        </w:tc>
        <w:tc>
          <w:tcPr>
            <w:tcW w:w="2693" w:type="dxa"/>
          </w:tcPr>
          <w:p w14:paraId="4488984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Стабилизирующая доза </w:t>
            </w:r>
          </w:p>
          <w:p w14:paraId="47459861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(с 6-ой недели)*</w:t>
            </w:r>
          </w:p>
        </w:tc>
      </w:tr>
      <w:tr w:rsidR="00175E9C" w:rsidRPr="00175E9C" w14:paraId="050B36EF" w14:textId="77777777" w:rsidTr="00287913">
        <w:tc>
          <w:tcPr>
            <w:tcW w:w="2518" w:type="dxa"/>
          </w:tcPr>
          <w:p w14:paraId="452F0D51" w14:textId="41AA7E31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Монотерапия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препаратом ЛАНИСТОР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 xml:space="preserve">® 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или в комбинации с препаратами, не влияю</w:t>
            </w:r>
            <w:r w:rsidR="00287913">
              <w:rPr>
                <w:rFonts w:ascii="Times New Roman" w:hAnsi="Times New Roman"/>
                <w:bCs/>
                <w:iCs/>
                <w:sz w:val="28"/>
                <w:szCs w:val="28"/>
              </w:rPr>
              <w:t>щими на мета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болизм печеночных ферментов</w:t>
            </w:r>
          </w:p>
        </w:tc>
        <w:tc>
          <w:tcPr>
            <w:tcW w:w="1370" w:type="dxa"/>
          </w:tcPr>
          <w:p w14:paraId="391EA3D5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25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6780003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раз в день)</w:t>
            </w:r>
          </w:p>
        </w:tc>
        <w:tc>
          <w:tcPr>
            <w:tcW w:w="1465" w:type="dxa"/>
          </w:tcPr>
          <w:p w14:paraId="34941B2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50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30E2D90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</w:t>
            </w:r>
          </w:p>
        </w:tc>
        <w:tc>
          <w:tcPr>
            <w:tcW w:w="1418" w:type="dxa"/>
          </w:tcPr>
          <w:p w14:paraId="09AD8372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609856F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или два раза в день)</w:t>
            </w:r>
          </w:p>
        </w:tc>
        <w:tc>
          <w:tcPr>
            <w:tcW w:w="2693" w:type="dxa"/>
          </w:tcPr>
          <w:p w14:paraId="4F4D6EE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68A3F1E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(1 или 2 раза в день)</w:t>
            </w:r>
          </w:p>
          <w:p w14:paraId="7483F2EC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 клинических исследованиях использовались  100 - 400 мг/сутки</w:t>
            </w:r>
          </w:p>
        </w:tc>
      </w:tr>
      <w:tr w:rsidR="00175E9C" w:rsidRPr="00175E9C" w14:paraId="359DDCC2" w14:textId="77777777" w:rsidTr="00287913">
        <w:tc>
          <w:tcPr>
            <w:tcW w:w="2518" w:type="dxa"/>
          </w:tcPr>
          <w:p w14:paraId="1A471138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Комбинированная терапия с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вальпроатом</w:t>
            </w:r>
            <w:proofErr w:type="spellEnd"/>
          </w:p>
        </w:tc>
        <w:tc>
          <w:tcPr>
            <w:tcW w:w="1370" w:type="dxa"/>
          </w:tcPr>
          <w:p w14:paraId="336C5322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12,5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5DBE0542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(назначат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ь по 25 мг через день)</w:t>
            </w:r>
          </w:p>
        </w:tc>
        <w:tc>
          <w:tcPr>
            <w:tcW w:w="1465" w:type="dxa"/>
          </w:tcPr>
          <w:p w14:paraId="5DDCA0D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25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74147A6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раз в день)</w:t>
            </w:r>
          </w:p>
        </w:tc>
        <w:tc>
          <w:tcPr>
            <w:tcW w:w="1418" w:type="dxa"/>
          </w:tcPr>
          <w:p w14:paraId="50A9AB9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50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1829CEB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(один или два раза в 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день)</w:t>
            </w:r>
          </w:p>
        </w:tc>
        <w:tc>
          <w:tcPr>
            <w:tcW w:w="2693" w:type="dxa"/>
          </w:tcPr>
          <w:p w14:paraId="16EB7E0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100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634D78B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(1 или 2 раза в день).</w:t>
            </w:r>
          </w:p>
          <w:p w14:paraId="2E1D504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Максимальная суточная доза – 200 мг</w:t>
            </w:r>
          </w:p>
        </w:tc>
      </w:tr>
      <w:tr w:rsidR="00175E9C" w:rsidRPr="00175E9C" w14:paraId="308A608B" w14:textId="77777777" w:rsidTr="00287913">
        <w:trPr>
          <w:trHeight w:val="274"/>
        </w:trPr>
        <w:tc>
          <w:tcPr>
            <w:tcW w:w="2518" w:type="dxa"/>
          </w:tcPr>
          <w:p w14:paraId="042AC8F6" w14:textId="536701BE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Комбинированная терапия с </w:t>
            </w:r>
            <w:proofErr w:type="spellStart"/>
            <w:r w:rsidR="00287913">
              <w:rPr>
                <w:rFonts w:ascii="Times New Roman" w:hAnsi="Times New Roman"/>
                <w:bCs/>
                <w:iCs/>
                <w:sz w:val="28"/>
                <w:szCs w:val="28"/>
              </w:rPr>
              <w:t>антиэпилептическими</w:t>
            </w:r>
            <w:proofErr w:type="spellEnd"/>
            <w:r w:rsidR="0028791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препа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ратами, ин</w:t>
            </w:r>
            <w:r w:rsidR="00287913">
              <w:rPr>
                <w:rFonts w:ascii="Times New Roman" w:hAnsi="Times New Roman"/>
                <w:bCs/>
                <w:iCs/>
                <w:sz w:val="28"/>
                <w:szCs w:val="28"/>
              </w:rPr>
              <w:t>дуцирую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щими печеночные ферменты** </w:t>
            </w:r>
          </w:p>
          <w:p w14:paraId="786C279B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(за исключением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вальпроата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1370" w:type="dxa"/>
          </w:tcPr>
          <w:p w14:paraId="683865E2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50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56A9839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(один раз в день)</w:t>
            </w:r>
          </w:p>
        </w:tc>
        <w:tc>
          <w:tcPr>
            <w:tcW w:w="1465" w:type="dxa"/>
          </w:tcPr>
          <w:p w14:paraId="402B092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4E0C202C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(два раза в день)</w:t>
            </w:r>
          </w:p>
        </w:tc>
        <w:tc>
          <w:tcPr>
            <w:tcW w:w="1418" w:type="dxa"/>
          </w:tcPr>
          <w:p w14:paraId="423B187E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  <w:p w14:paraId="702771D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(два раза в день)</w:t>
            </w:r>
          </w:p>
        </w:tc>
        <w:tc>
          <w:tcPr>
            <w:tcW w:w="2693" w:type="dxa"/>
          </w:tcPr>
          <w:p w14:paraId="344622D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300 мг (в два приема) на 6 неделе терапии. </w:t>
            </w:r>
          </w:p>
          <w:p w14:paraId="01B24EEC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При необходимости - увеличить дозу до 400 мг на 7 неделе терапии, принимаемые в два приема</w:t>
            </w:r>
          </w:p>
        </w:tc>
      </w:tr>
      <w:tr w:rsidR="00175E9C" w:rsidRPr="00175E9C" w14:paraId="731F6860" w14:textId="77777777" w:rsidTr="00287913">
        <w:tc>
          <w:tcPr>
            <w:tcW w:w="9464" w:type="dxa"/>
            <w:gridSpan w:val="5"/>
          </w:tcPr>
          <w:p w14:paraId="47A67FC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*Стабилизирующая доза изменяется в зависимости от клинического эффекта </w:t>
            </w:r>
          </w:p>
          <w:p w14:paraId="5981BB01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** например: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фенитоин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карбамазепин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фенобарбитал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примидон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и другие</w:t>
            </w:r>
          </w:p>
          <w:p w14:paraId="60F005E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У пациентов, принимающих противосудорожные препараты, взаимодействие которых с препаратом ЛАНИСТОР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>®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неизвестно, рекомендуют применять такую же схему увеличения доз как для пациентов, принимающих ЛАНИСТОР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>®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вальпроатом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натрия.</w:t>
            </w:r>
          </w:p>
        </w:tc>
      </w:tr>
    </w:tbl>
    <w:p w14:paraId="16F41593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Как только будет достигнута суточная поддерживающая стабилизирующая доза, другие психотропные препараты могут быть отменены (см. табл. 4).</w:t>
      </w:r>
    </w:p>
    <w:p w14:paraId="2CEC750E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Таблица 4. Стабилизирующая суточная доза препарата ЛАНИСТОР®   при биполярных расстройствах после отмены сопутствующих психотропных или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антиэпилептических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препаратов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851"/>
        <w:gridCol w:w="850"/>
        <w:gridCol w:w="993"/>
        <w:gridCol w:w="1275"/>
        <w:gridCol w:w="2553"/>
      </w:tblGrid>
      <w:tr w:rsidR="00175E9C" w:rsidRPr="00175E9C" w14:paraId="2CB2E4FD" w14:textId="77777777" w:rsidTr="00287913">
        <w:trPr>
          <w:trHeight w:val="1485"/>
        </w:trPr>
        <w:tc>
          <w:tcPr>
            <w:tcW w:w="2943" w:type="dxa"/>
          </w:tcPr>
          <w:p w14:paraId="06536CF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Терапевтические схемы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4987C8CC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Стабилизирующая доза, принимаемая в настоящий момент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92F131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Неделя 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DFD846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Неделя 2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14:paraId="21CC10F2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Неделя 3 и далее*</w:t>
            </w:r>
          </w:p>
        </w:tc>
      </w:tr>
      <w:tr w:rsidR="00175E9C" w:rsidRPr="00175E9C" w14:paraId="13DF0905" w14:textId="77777777" w:rsidTr="00287913">
        <w:trPr>
          <w:cantSplit/>
          <w:trHeight w:val="272"/>
        </w:trPr>
        <w:tc>
          <w:tcPr>
            <w:tcW w:w="2943" w:type="dxa"/>
            <w:vMerge w:val="restart"/>
          </w:tcPr>
          <w:p w14:paraId="660785E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После отмены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вальпроата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:</w:t>
            </w:r>
          </w:p>
          <w:p w14:paraId="49A95133" w14:textId="61F3C33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удвоить стабилизи</w:t>
            </w:r>
            <w:r w:rsidR="00287913">
              <w:rPr>
                <w:rFonts w:ascii="Times New Roman" w:hAnsi="Times New Roman"/>
                <w:bCs/>
                <w:iCs/>
                <w:sz w:val="28"/>
                <w:szCs w:val="28"/>
              </w:rPr>
              <w:t>рую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щую дозу, не превышая</w:t>
            </w:r>
          </w:p>
          <w:p w14:paraId="7F9D00A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100 мг/неделю.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14:paraId="452EA21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993" w:type="dxa"/>
            <w:tcBorders>
              <w:top w:val="nil"/>
              <w:right w:val="nil"/>
            </w:tcBorders>
          </w:tcPr>
          <w:p w14:paraId="290D38C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382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47FDC3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Сохранить дозу 200 мг/сутки в два приема.*</w:t>
            </w:r>
          </w:p>
        </w:tc>
      </w:tr>
      <w:tr w:rsidR="00175E9C" w:rsidRPr="00175E9C" w14:paraId="0F50DAA4" w14:textId="77777777" w:rsidTr="00287913">
        <w:trPr>
          <w:cantSplit/>
          <w:trHeight w:val="545"/>
        </w:trPr>
        <w:tc>
          <w:tcPr>
            <w:tcW w:w="2943" w:type="dxa"/>
            <w:vMerge/>
          </w:tcPr>
          <w:p w14:paraId="6E69BCE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nil"/>
            </w:tcBorders>
          </w:tcPr>
          <w:p w14:paraId="69821EE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993" w:type="dxa"/>
            <w:tcBorders>
              <w:right w:val="nil"/>
            </w:tcBorders>
          </w:tcPr>
          <w:p w14:paraId="3FE843FB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300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D9A3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400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19C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Поддерживать дозу 400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</w:tr>
      <w:tr w:rsidR="00175E9C" w:rsidRPr="00175E9C" w14:paraId="35BA88DD" w14:textId="77777777" w:rsidTr="00287913">
        <w:trPr>
          <w:cantSplit/>
          <w:trHeight w:val="850"/>
        </w:trPr>
        <w:tc>
          <w:tcPr>
            <w:tcW w:w="2943" w:type="dxa"/>
            <w:vMerge w:val="restart"/>
          </w:tcPr>
          <w:p w14:paraId="2BE0812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После отмены ПЭП, индуцирующих печеночные ферменты (например,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карбамазепин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фенобарбитал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примидон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рифампицин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лопинавир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ритонавир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), в зависимости от исходной дозы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EC751C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400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F999B0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400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2DE5EC5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300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2553" w:type="dxa"/>
            <w:tcBorders>
              <w:right w:val="single" w:sz="4" w:space="0" w:color="auto"/>
            </w:tcBorders>
          </w:tcPr>
          <w:p w14:paraId="07E6A0FC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</w:tr>
      <w:tr w:rsidR="00175E9C" w:rsidRPr="00175E9C" w14:paraId="65928A61" w14:textId="77777777" w:rsidTr="00287913">
        <w:trPr>
          <w:cantSplit/>
          <w:trHeight w:val="850"/>
        </w:trPr>
        <w:tc>
          <w:tcPr>
            <w:tcW w:w="2943" w:type="dxa"/>
            <w:vMerge/>
          </w:tcPr>
          <w:p w14:paraId="50214B4B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852614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300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B69A86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300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F6E03DC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225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2553" w:type="dxa"/>
            <w:tcBorders>
              <w:right w:val="single" w:sz="4" w:space="0" w:color="auto"/>
            </w:tcBorders>
          </w:tcPr>
          <w:p w14:paraId="5A96C864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150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</w:tr>
      <w:tr w:rsidR="00175E9C" w:rsidRPr="00175E9C" w14:paraId="3A780D83" w14:textId="77777777" w:rsidTr="00287913">
        <w:trPr>
          <w:cantSplit/>
          <w:trHeight w:val="850"/>
        </w:trPr>
        <w:tc>
          <w:tcPr>
            <w:tcW w:w="2943" w:type="dxa"/>
            <w:vMerge/>
          </w:tcPr>
          <w:p w14:paraId="41D3943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CE9C7D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FA35B7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8F9BE0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150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2553" w:type="dxa"/>
            <w:tcBorders>
              <w:right w:val="single" w:sz="4" w:space="0" w:color="auto"/>
            </w:tcBorders>
          </w:tcPr>
          <w:p w14:paraId="3FFBD06F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</w:tr>
      <w:tr w:rsidR="00175E9C" w:rsidRPr="00175E9C" w14:paraId="2ACA47A1" w14:textId="77777777" w:rsidTr="00287913">
        <w:trPr>
          <w:cantSplit/>
          <w:trHeight w:val="850"/>
        </w:trPr>
        <w:tc>
          <w:tcPr>
            <w:tcW w:w="3794" w:type="dxa"/>
            <w:gridSpan w:val="2"/>
          </w:tcPr>
          <w:p w14:paraId="2AAB369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После отмены других психотропных препаратов или ПЭП с неизвестным характером взаимодействия с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ламотриджином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(например, литий,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бупропион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5671" w:type="dxa"/>
            <w:gridSpan w:val="4"/>
            <w:tcBorders>
              <w:right w:val="single" w:sz="4" w:space="0" w:color="auto"/>
            </w:tcBorders>
            <w:vAlign w:val="center"/>
          </w:tcPr>
          <w:p w14:paraId="055A8DE3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Поддерживающая доза - 200 мг/сутки (в два приема)</w:t>
            </w:r>
          </w:p>
          <w:p w14:paraId="7E01EC11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(от 100 мг до 400 мг)</w:t>
            </w:r>
          </w:p>
        </w:tc>
      </w:tr>
    </w:tbl>
    <w:p w14:paraId="2D2AC448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*при необходимости доза может быть увеличена до 400 мг/сутки</w:t>
      </w:r>
    </w:p>
    <w:p w14:paraId="5CB8BAFF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Пациентам, принимающим противоэпилептические препараты, характер взаимодействия которых с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ламотриджином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не известен, рекомендуется такая же схема увеличения доз, как при приеме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с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вальпроатом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35EAB55C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При отмене сопутствующих ЛАНИСТОР</w:t>
      </w:r>
      <w:r w:rsidRPr="00175E9C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 xml:space="preserve">® </w:t>
      </w:r>
      <w:r w:rsidRPr="00175E9C">
        <w:rPr>
          <w:rFonts w:ascii="Times New Roman" w:hAnsi="Times New Roman"/>
          <w:bCs/>
          <w:iCs/>
          <w:sz w:val="28"/>
          <w:szCs w:val="28"/>
        </w:rPr>
        <w:t>препаратов должна быть сохранена прежняя поддерживающая доза.</w:t>
      </w:r>
    </w:p>
    <w:p w14:paraId="083C5368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В таблице 5 представлены рекомендации по дозированию при биполярных нарушениях в случае присоединения к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монотерапии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препаратом ЛАНИСТОР</w:t>
      </w:r>
      <w:r w:rsidRPr="00175E9C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других препаратов. </w:t>
      </w:r>
    </w:p>
    <w:p w14:paraId="0D586D1D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Таблица 5. Схема дозирования при биполярных расстройствах после присоединения к препарату ЛАНИСТОР</w:t>
      </w:r>
      <w:r w:rsidRPr="00175E9C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 других препаратов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701"/>
        <w:gridCol w:w="1417"/>
        <w:gridCol w:w="1560"/>
        <w:gridCol w:w="1559"/>
      </w:tblGrid>
      <w:tr w:rsidR="00175E9C" w:rsidRPr="00175E9C" w14:paraId="0D8E1835" w14:textId="77777777" w:rsidTr="00287913">
        <w:tc>
          <w:tcPr>
            <w:tcW w:w="3227" w:type="dxa"/>
          </w:tcPr>
          <w:p w14:paraId="145EAB15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Терапевтические схемы</w:t>
            </w:r>
          </w:p>
        </w:tc>
        <w:tc>
          <w:tcPr>
            <w:tcW w:w="1701" w:type="dxa"/>
          </w:tcPr>
          <w:p w14:paraId="0ED60B4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Стабилизирующая доза, принимаемая в настоящий момент</w:t>
            </w:r>
          </w:p>
        </w:tc>
        <w:tc>
          <w:tcPr>
            <w:tcW w:w="1417" w:type="dxa"/>
          </w:tcPr>
          <w:p w14:paraId="447BD46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Неделя 1</w:t>
            </w:r>
          </w:p>
        </w:tc>
        <w:tc>
          <w:tcPr>
            <w:tcW w:w="1560" w:type="dxa"/>
          </w:tcPr>
          <w:p w14:paraId="5D8F2D15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Неделя 2</w:t>
            </w:r>
          </w:p>
        </w:tc>
        <w:tc>
          <w:tcPr>
            <w:tcW w:w="1559" w:type="dxa"/>
          </w:tcPr>
          <w:p w14:paraId="58C1600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Неделя 3 и далее</w:t>
            </w:r>
          </w:p>
        </w:tc>
      </w:tr>
      <w:tr w:rsidR="00175E9C" w:rsidRPr="00175E9C" w14:paraId="48A75179" w14:textId="77777777" w:rsidTr="00287913">
        <w:trPr>
          <w:cantSplit/>
          <w:trHeight w:val="466"/>
        </w:trPr>
        <w:tc>
          <w:tcPr>
            <w:tcW w:w="3227" w:type="dxa"/>
            <w:vMerge w:val="restart"/>
          </w:tcPr>
          <w:p w14:paraId="1F43620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Присоединение </w:t>
            </w:r>
          </w:p>
          <w:p w14:paraId="77155A6C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вальпроата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, в зависимости от исходной дозы препарата ЛАНИСТОР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>®</w:t>
            </w:r>
          </w:p>
        </w:tc>
        <w:tc>
          <w:tcPr>
            <w:tcW w:w="1701" w:type="dxa"/>
          </w:tcPr>
          <w:p w14:paraId="093AC8F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417" w:type="dxa"/>
          </w:tcPr>
          <w:p w14:paraId="2F3B61A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3119" w:type="dxa"/>
            <w:gridSpan w:val="2"/>
          </w:tcPr>
          <w:p w14:paraId="141DFB91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Сохранить дозу </w:t>
            </w:r>
          </w:p>
          <w:p w14:paraId="5D48B07B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(100 мг/сутки)</w:t>
            </w:r>
          </w:p>
        </w:tc>
      </w:tr>
      <w:tr w:rsidR="00175E9C" w:rsidRPr="00175E9C" w14:paraId="61B060C4" w14:textId="77777777" w:rsidTr="00287913">
        <w:trPr>
          <w:cantSplit/>
          <w:trHeight w:val="491"/>
        </w:trPr>
        <w:tc>
          <w:tcPr>
            <w:tcW w:w="3227" w:type="dxa"/>
            <w:vMerge/>
          </w:tcPr>
          <w:p w14:paraId="55ED734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6C99AE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300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417" w:type="dxa"/>
          </w:tcPr>
          <w:p w14:paraId="0E5059BE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150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3119" w:type="dxa"/>
            <w:gridSpan w:val="2"/>
          </w:tcPr>
          <w:p w14:paraId="3B8F83F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Сохранить дозу </w:t>
            </w:r>
          </w:p>
          <w:p w14:paraId="0BC6B8E8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(150 мг/сутки)</w:t>
            </w:r>
          </w:p>
        </w:tc>
      </w:tr>
      <w:tr w:rsidR="00175E9C" w:rsidRPr="00175E9C" w14:paraId="2208D541" w14:textId="77777777" w:rsidTr="00287913">
        <w:trPr>
          <w:cantSplit/>
          <w:trHeight w:val="414"/>
        </w:trPr>
        <w:tc>
          <w:tcPr>
            <w:tcW w:w="3227" w:type="dxa"/>
            <w:vMerge/>
          </w:tcPr>
          <w:p w14:paraId="467D19CB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534B6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400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417" w:type="dxa"/>
          </w:tcPr>
          <w:p w14:paraId="3E7F786B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3119" w:type="dxa"/>
            <w:gridSpan w:val="2"/>
          </w:tcPr>
          <w:p w14:paraId="3B3B72D8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Сохранить дозу </w:t>
            </w:r>
          </w:p>
          <w:p w14:paraId="72B1975E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(200 мг/сутки)</w:t>
            </w:r>
          </w:p>
        </w:tc>
      </w:tr>
      <w:tr w:rsidR="00175E9C" w:rsidRPr="00175E9C" w14:paraId="016EAA02" w14:textId="77777777" w:rsidTr="00287913">
        <w:trPr>
          <w:cantSplit/>
          <w:trHeight w:val="1041"/>
        </w:trPr>
        <w:tc>
          <w:tcPr>
            <w:tcW w:w="3227" w:type="dxa"/>
            <w:vMerge w:val="restart"/>
          </w:tcPr>
          <w:p w14:paraId="47E9EBD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Присоединение ПЭП (за исключением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вальпроата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) и препаратов, индуцирующих печеночные ферменты 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(например,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фенитоина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карбамазепина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фенобарбитона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примидона</w:t>
            </w:r>
            <w:proofErr w:type="spellEnd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и других), в зависимости от исходной дозы препарата ЛАНИСТОР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>®</w:t>
            </w: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740A618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417" w:type="dxa"/>
          </w:tcPr>
          <w:p w14:paraId="4D4CC652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560" w:type="dxa"/>
          </w:tcPr>
          <w:p w14:paraId="156113E1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300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559" w:type="dxa"/>
          </w:tcPr>
          <w:p w14:paraId="48445B48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400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</w:tr>
      <w:tr w:rsidR="00175E9C" w:rsidRPr="00175E9C" w14:paraId="7C1627AB" w14:textId="77777777" w:rsidTr="00287913">
        <w:trPr>
          <w:cantSplit/>
          <w:trHeight w:val="1042"/>
        </w:trPr>
        <w:tc>
          <w:tcPr>
            <w:tcW w:w="3227" w:type="dxa"/>
            <w:vMerge/>
          </w:tcPr>
          <w:p w14:paraId="0D7CC1D5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24B737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150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417" w:type="dxa"/>
          </w:tcPr>
          <w:p w14:paraId="499565C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150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560" w:type="dxa"/>
          </w:tcPr>
          <w:p w14:paraId="036D51C1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225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559" w:type="dxa"/>
          </w:tcPr>
          <w:p w14:paraId="13E61090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300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</w:tr>
      <w:tr w:rsidR="00175E9C" w:rsidRPr="00175E9C" w14:paraId="0EFE9ABC" w14:textId="77777777" w:rsidTr="00287913">
        <w:trPr>
          <w:cantSplit/>
          <w:trHeight w:val="700"/>
        </w:trPr>
        <w:tc>
          <w:tcPr>
            <w:tcW w:w="3227" w:type="dxa"/>
            <w:vMerge/>
          </w:tcPr>
          <w:p w14:paraId="78FCD6A2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C30D73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417" w:type="dxa"/>
          </w:tcPr>
          <w:p w14:paraId="53E7AD5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560" w:type="dxa"/>
          </w:tcPr>
          <w:p w14:paraId="79F20E7D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150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559" w:type="dxa"/>
          </w:tcPr>
          <w:p w14:paraId="5622C579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200 мг/</w:t>
            </w:r>
            <w:proofErr w:type="spellStart"/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сут</w:t>
            </w:r>
            <w:proofErr w:type="spellEnd"/>
          </w:p>
        </w:tc>
      </w:tr>
      <w:tr w:rsidR="00175E9C" w:rsidRPr="00175E9C" w14:paraId="00BBA14E" w14:textId="77777777" w:rsidTr="00287913">
        <w:trPr>
          <w:cantSplit/>
          <w:trHeight w:val="1573"/>
        </w:trPr>
        <w:tc>
          <w:tcPr>
            <w:tcW w:w="3227" w:type="dxa"/>
          </w:tcPr>
          <w:p w14:paraId="5882E7BA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Присоединение других медицинских препаратов, не оказывающих значимого ингибирующего действия на печеночные ферменты</w:t>
            </w:r>
          </w:p>
        </w:tc>
        <w:tc>
          <w:tcPr>
            <w:tcW w:w="6237" w:type="dxa"/>
            <w:gridSpan w:val="4"/>
          </w:tcPr>
          <w:p w14:paraId="3100A4B6" w14:textId="77777777" w:rsidR="00175E9C" w:rsidRPr="00175E9C" w:rsidRDefault="00175E9C" w:rsidP="00175E9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75E9C">
              <w:rPr>
                <w:rFonts w:ascii="Times New Roman" w:hAnsi="Times New Roman"/>
                <w:bCs/>
                <w:iCs/>
                <w:sz w:val="28"/>
                <w:szCs w:val="28"/>
              </w:rPr>
              <w:t>Сохранить поддерживающую дозу 200 мг/сутки в два приема (от 100 мг до 400 мг)</w:t>
            </w:r>
          </w:p>
        </w:tc>
      </w:tr>
    </w:tbl>
    <w:p w14:paraId="3927CFE1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Пациентам, принимающим противоэпилептические препараты, характер взаимодействия которых с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ламотриджином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не известен, рекомендуется такая же схема увеличения доз, как при приеме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с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вальпроатом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475EBA77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Отмена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при биполярных нарушениях</w:t>
      </w:r>
    </w:p>
    <w:p w14:paraId="1824305D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Резкая отмена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не вызывает увеличения частоты встречаемости или тяжести побочных реакций по сравнению с плацебо. Пациенты могут отменять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сразу, без постепенного снижения его дозы.</w:t>
      </w:r>
    </w:p>
    <w:p w14:paraId="3F601E0D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Общие рекомендации по дозированию препарата ЛАНИСТОР</w:t>
      </w:r>
      <w:r w:rsidRPr="00175E9C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у особых групп пациентов</w:t>
      </w:r>
    </w:p>
    <w:p w14:paraId="656DB063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Женщины, принимающие гормональные контрацептивы</w:t>
      </w:r>
    </w:p>
    <w:p w14:paraId="3C14B3BC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Применение комбинации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этинилэстрадиола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 / 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левоноргестрела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(30 мг/150 мкг) увеличивает клиренс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почти в два раза, что приводит к снижению уровня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. После титрования, поддержание более высоких доз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(выше в два раза) может быть необходимо для достижения максимального терапевтического эффекта. При отмене противозачаточных таблеток в течение недели, наблюдалось увеличение уровня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в два раза. Неблагоприятные явления, связанные с дозировкой не могут быть исключены. Таким образом, внимание должно быть уделено использованию метода контрацепции без наличия недели перерыва в приёме препарата, в качестве первой линии терапии (например, непрерывные гормональные контрацептивы, или негормональные методы).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14:paraId="0140111C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Начало приема гормональной контрацепции у пациенток, получающих лечение поддерживающими дозами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и не применяющих препараты, индуцирующих печеночные ферменты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11DD2289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Поддерживающая 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в большинстве случаев должна быть увеличена в два раза. От момента начала приема контрацептивов рекомендуется увеличивать дозу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на 50-100 мг/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сут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каждую неделю в соответствии с индивидуальным клиническим </w:t>
      </w:r>
      <w:r w:rsidRPr="00175E9C">
        <w:rPr>
          <w:rFonts w:ascii="Times New Roman" w:hAnsi="Times New Roman"/>
          <w:bCs/>
          <w:iCs/>
          <w:sz w:val="28"/>
          <w:szCs w:val="28"/>
        </w:rPr>
        <w:lastRenderedPageBreak/>
        <w:t>ответом. Дозы не должны превышать рекомендованных пределов в случае адекватного клинического ответа на проводимую терапию.</w:t>
      </w:r>
    </w:p>
    <w:p w14:paraId="6B82A08F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Измерение концентрации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в сыворотке, до и после начала применения гормональных контрацептивов, можно считать подтверждением того, что базовая концентрация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в настоящее время поддерживается. При необходимости, доза должна быть адаптирована. У женщин, принимающих гормональные контрацептивы, которые включают одну неделю неактивного лечения («неделя без применения таблеток»), контроль уровня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в сыворотке должен проводиться в течение 3-й недели активного лечения, т.е. в дни с 15 по 21 цикла приёма таблеток. Таким образом, внимание должно быть уделено использованию контрацептивных средств без наличия недели без приёма таблеток, в качестве первой линии терапии (например, непрерывные гормональные контрацептивы, или негормональные методы) </w:t>
      </w:r>
    </w:p>
    <w:p w14:paraId="0D567B89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Прекращение приема гормональных контрацептивов у пациенток, получающих лечение поддерживающими дозами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и не применяющих препараты, индуцирующие печеночные ферменты</w:t>
      </w:r>
    </w:p>
    <w:p w14:paraId="49CDF017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Поддерживающая 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в большинстве случаев должна быть снижена на 50% в соответствии с индивидуальным клиническим ответом. Рекомендуется снижать дозу препарата на 50-100 мг каждую неделю на протяжении 3 недель, до достижения оптимального клинического ответа. </w:t>
      </w:r>
    </w:p>
    <w:p w14:paraId="7C807A78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Измерение концентрации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в сыворотке до и после прекращения применения гормональных контрацептивов, можно считать подтверждением того, что базовая концентрация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в настоящее время поддерживается. У женщин, которые желают прекратить прием гормональных контрацептивов, которые включают одну неделю неактивного лечения («Неделя без таблеток»), контроль уровня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в сыворотке должен проводиться в течение 3-й недели  активного лечения, т.е. в дни с 15 по 21 цикла приёма таблеток. Не следует собирать образцы для оценки уровней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после постоянного прекращения противозачаточных таблеток в течение первой недели после остановки в приёме таблеток. </w:t>
      </w:r>
    </w:p>
    <w:p w14:paraId="67E73ECF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Начало терапии препаратом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женщинами, уже принимающими гормональные контрацептивы до начала лечения </w:t>
      </w:r>
    </w:p>
    <w:p w14:paraId="2D6176B9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Повышение дозы следует поддерживать в соответствии  с нормальной рекомендованной дозой, описанной в вышеприведенных таблицах.</w:t>
      </w:r>
    </w:p>
    <w:p w14:paraId="0F1463C9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Начало и прекращение приема гормональных контрацептивов пациентами, которые уже принимают поддерживающие дозы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, а также принимают индукторы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глюкуронидации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14:paraId="1C44E1ED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Корректировка рекомендуемой поддерживающей дозы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не требуется.</w:t>
      </w:r>
    </w:p>
    <w:p w14:paraId="199BF4A7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u w:val="single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  <w:u w:val="single"/>
        </w:rPr>
        <w:t xml:space="preserve">Совместное применение с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  <w:u w:val="single"/>
        </w:rPr>
        <w:t>атазанавиром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  <w:u w:val="single"/>
        </w:rPr>
        <w:t>/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  <w:u w:val="single"/>
        </w:rPr>
        <w:t>ритонавиром</w:t>
      </w:r>
      <w:proofErr w:type="spellEnd"/>
    </w:p>
    <w:p w14:paraId="0F055CF3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lastRenderedPageBreak/>
        <w:t xml:space="preserve">Несмотря на то, что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атазанавир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ритонавир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снижает плазменные концентрации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, нет необходимости корректировать рекомендованную дозу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и менять схемы лечения, показанные при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монотерапии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или комбинированной терапии. </w:t>
      </w:r>
    </w:p>
    <w:p w14:paraId="5BCB852E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У пациентов, уже принимающих поддерживающую дозу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без индукторов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глюкуронизации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, при назначении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атазанавира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ритонавира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может потребоваться увеличение дозы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или ее уменьшение в случае отмены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атазанавира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ритонавира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.</w:t>
      </w:r>
    </w:p>
    <w:p w14:paraId="29C12AAD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u w:val="single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  <w:u w:val="single"/>
        </w:rPr>
        <w:t xml:space="preserve">Совместное применение с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  <w:u w:val="single"/>
        </w:rPr>
        <w:t>лопинавиром</w:t>
      </w:r>
      <w:proofErr w:type="spellEnd"/>
      <w:r w:rsidRPr="00175E9C">
        <w:rPr>
          <w:rFonts w:ascii="Times New Roman" w:hAnsi="Times New Roman"/>
          <w:bCs/>
          <w:i/>
          <w:iCs/>
          <w:sz w:val="28"/>
          <w:szCs w:val="28"/>
          <w:u w:val="single"/>
        </w:rPr>
        <w:t xml:space="preserve"> / </w:t>
      </w:r>
      <w:proofErr w:type="spellStart"/>
      <w:r w:rsidRPr="00175E9C">
        <w:rPr>
          <w:rFonts w:ascii="Times New Roman" w:hAnsi="Times New Roman"/>
          <w:bCs/>
          <w:i/>
          <w:iCs/>
          <w:sz w:val="28"/>
          <w:szCs w:val="28"/>
          <w:u w:val="single"/>
        </w:rPr>
        <w:t>ритонавиром</w:t>
      </w:r>
      <w:proofErr w:type="spellEnd"/>
    </w:p>
    <w:p w14:paraId="728EF713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Нет необходимости корректировать рекомендованную дозу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при добавлении к существующей терапии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лопинавиром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/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ритонавиром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.</w:t>
      </w:r>
    </w:p>
    <w:p w14:paraId="71A99800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У пациентов, уже принимающих поддерживающие дозы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и не принимающих индукторы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глюкуронидации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, доза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должна быть увеличена, если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лопинавир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/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ритонавир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добавляется, или уменьшена, если применение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лопинавира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ритонавира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прекращено. Мониторинг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в плазме следует проводить до и в течение 2 недель после добавления, или отмены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лопинавира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/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ритонавира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, чтобы выявить, необходимость корректировки дозы препарата ЛАНИСТОР</w:t>
      </w:r>
      <w:r w:rsidRPr="00FC0644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.  </w:t>
      </w:r>
    </w:p>
    <w:p w14:paraId="12391AD5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u w:val="single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  <w:u w:val="single"/>
        </w:rPr>
        <w:t>Возобновление приема препарата ЛАНИСТОР</w:t>
      </w:r>
      <w:r w:rsidRPr="00175E9C">
        <w:rPr>
          <w:rFonts w:ascii="Times New Roman" w:hAnsi="Times New Roman"/>
          <w:bCs/>
          <w:i/>
          <w:iCs/>
          <w:sz w:val="28"/>
          <w:szCs w:val="28"/>
          <w:u w:val="single"/>
          <w:vertAlign w:val="superscript"/>
        </w:rPr>
        <w:t>®</w:t>
      </w:r>
    </w:p>
    <w:p w14:paraId="33C72756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При возобновлении терапии препаратом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лечащий врач должен тщательно оценить необходимость увеличения поддерживающей дозы у пациентов, прекративших прием препарата по каким-либо причинам, в связи с риском развития кожных высыпаний тяжелой степени при назначении высоких начальных доз препарата. Следует иметь в виду, что чем больший интервал имеется между последним и предполагаемым приемом препарата, тем более тщательной должна быть оценка назначаемой поддерживающей дозы. Если перерыв в приеме превышает показатель, равный пяти периодам полувыведения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(более 150 часов), рекомендуется начать прием с той поддерживающей дозы, которая была установлена до отмены.</w:t>
      </w:r>
    </w:p>
    <w:p w14:paraId="7A3CCC6E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Прием препарата ЛАНИСТОР</w:t>
      </w:r>
      <w:r w:rsidRPr="00175E9C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175E9C">
        <w:rPr>
          <w:rFonts w:ascii="Times New Roman" w:hAnsi="Times New Roman"/>
          <w:bCs/>
          <w:iCs/>
          <w:sz w:val="28"/>
          <w:szCs w:val="28"/>
        </w:rPr>
        <w:t xml:space="preserve"> не должен возобновляться, если лечение было отменено по причине развития сыпи, если предполагаемая польза от приема не превышает возможные риски.</w:t>
      </w:r>
    </w:p>
    <w:p w14:paraId="097B8F07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Пациенты пожилого возраста (старше 65 лет)</w:t>
      </w:r>
    </w:p>
    <w:p w14:paraId="642AA4C8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Изменения схемы дозирования препарата не требуется.</w:t>
      </w:r>
    </w:p>
    <w:p w14:paraId="5300710F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Нарушение функции печени</w:t>
      </w:r>
    </w:p>
    <w:p w14:paraId="52FE3593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Начальную, возрастающую и поддерживающую дозы следует уменьшить приблизительно на 50% у пациентов с умеренной (степень В по классификации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Чайлд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-Пью) и 75% - тяжелой (степень С по классификации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Чайлд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>-Пью) степенью печеночной недостаточности. Возрастающая и поддерживающая дозы должны корректироваться в зависимости от индивидуального клинического ответа пациента.</w:t>
      </w:r>
    </w:p>
    <w:p w14:paraId="7D5A1C2B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75E9C">
        <w:rPr>
          <w:rFonts w:ascii="Times New Roman" w:hAnsi="Times New Roman"/>
          <w:bCs/>
          <w:i/>
          <w:iCs/>
          <w:sz w:val="28"/>
          <w:szCs w:val="28"/>
        </w:rPr>
        <w:t>Нарушение функции почек</w:t>
      </w:r>
    </w:p>
    <w:p w14:paraId="04F7A0AD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lastRenderedPageBreak/>
        <w:t xml:space="preserve">При почечной недостаточности начальную дозу препарата ЛАНИСТОР® устанавливают в соответствии со стандартной схемой назначения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антиэпилептических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препаратов. При терминальной стадии почечной недостаточности тяжелой степени поддерживающую дозу рекомендуется уменьшить.</w:t>
      </w:r>
    </w:p>
    <w:p w14:paraId="46A818DB" w14:textId="77777777" w:rsidR="00C4106C" w:rsidRPr="00C4106C" w:rsidRDefault="00C4106C" w:rsidP="00C4106C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  <w:r w:rsidRPr="00C4106C">
        <w:rPr>
          <w:rFonts w:ascii="Times New Roman" w:hAnsi="Times New Roman"/>
          <w:b/>
          <w:bCs/>
          <w:i/>
          <w:iCs/>
          <w:sz w:val="28"/>
          <w:szCs w:val="28"/>
          <w:lang w:bidi="ru-RU"/>
        </w:rPr>
        <w:t>Метод и путь введения</w:t>
      </w:r>
    </w:p>
    <w:p w14:paraId="758C7E89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>Таблетки следует проглатывать целиком, не следует таблетки жевать или дробить.</w:t>
      </w:r>
    </w:p>
    <w:p w14:paraId="29DF4668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75E9C">
        <w:rPr>
          <w:rFonts w:ascii="Times New Roman" w:hAnsi="Times New Roman"/>
          <w:bCs/>
          <w:iCs/>
          <w:sz w:val="28"/>
          <w:szCs w:val="28"/>
        </w:rPr>
        <w:t xml:space="preserve">Если расчетная доза </w:t>
      </w:r>
      <w:proofErr w:type="spellStart"/>
      <w:r w:rsidRPr="00175E9C">
        <w:rPr>
          <w:rFonts w:ascii="Times New Roman" w:hAnsi="Times New Roman"/>
          <w:bCs/>
          <w:iCs/>
          <w:sz w:val="28"/>
          <w:szCs w:val="28"/>
        </w:rPr>
        <w:t>ламотриджина</w:t>
      </w:r>
      <w:proofErr w:type="spellEnd"/>
      <w:r w:rsidRPr="00175E9C">
        <w:rPr>
          <w:rFonts w:ascii="Times New Roman" w:hAnsi="Times New Roman"/>
          <w:bCs/>
          <w:iCs/>
          <w:sz w:val="28"/>
          <w:szCs w:val="28"/>
        </w:rPr>
        <w:t xml:space="preserve"> (например, для лечения детей, страдающих эпилепсией или у пациентов с нарушением функции печени) не соответствует числу целых таблеток, дозой для приема является число, равное меньшему числу целых таблеток.</w:t>
      </w:r>
    </w:p>
    <w:p w14:paraId="3319C1D4" w14:textId="77777777" w:rsidR="005C4B12" w:rsidRPr="009C18D6" w:rsidRDefault="00DB406A" w:rsidP="00C4106C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Меры, которые необходимо принять в случае передозировки</w:t>
      </w:r>
      <w:r w:rsidRPr="009C18D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14:paraId="41CDEF72" w14:textId="0C0CE998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10" w:name="2175220280"/>
      <w:bookmarkEnd w:id="9"/>
      <w:r w:rsidRPr="00175E9C">
        <w:rPr>
          <w:rFonts w:ascii="Times New Roman" w:hAnsi="Times New Roman"/>
          <w:bCs/>
          <w:i/>
          <w:color w:val="000000"/>
          <w:sz w:val="28"/>
          <w:szCs w:val="28"/>
        </w:rPr>
        <w:t>Симптомы:</w:t>
      </w:r>
      <w:r w:rsidRPr="00175E9C">
        <w:rPr>
          <w:rFonts w:ascii="Times New Roman" w:hAnsi="Times New Roman"/>
          <w:bCs/>
          <w:color w:val="000000"/>
          <w:sz w:val="28"/>
          <w:szCs w:val="28"/>
        </w:rPr>
        <w:t xml:space="preserve"> были выявлены летальные исходы при приеме препарата в дозе, превышающей </w:t>
      </w:r>
      <w:proofErr w:type="gramStart"/>
      <w:r w:rsidRPr="00175E9C">
        <w:rPr>
          <w:rFonts w:ascii="Times New Roman" w:hAnsi="Times New Roman"/>
          <w:bCs/>
          <w:color w:val="000000"/>
          <w:sz w:val="28"/>
          <w:szCs w:val="28"/>
        </w:rPr>
        <w:t>рекомендованную</w:t>
      </w:r>
      <w:proofErr w:type="gramEnd"/>
      <w:r w:rsidRPr="00175E9C">
        <w:rPr>
          <w:rFonts w:ascii="Times New Roman" w:hAnsi="Times New Roman"/>
          <w:bCs/>
          <w:color w:val="000000"/>
          <w:sz w:val="28"/>
          <w:szCs w:val="28"/>
        </w:rPr>
        <w:t xml:space="preserve"> в 10-20 раз. При передозировке препарата возможно развитие нистагма, атаксии, тонико-клонических судорог и комы, а также удлинение интервала QRS (задержка </w:t>
      </w:r>
      <w:proofErr w:type="spellStart"/>
      <w:r w:rsidRPr="00175E9C">
        <w:rPr>
          <w:rFonts w:ascii="Times New Roman" w:hAnsi="Times New Roman"/>
          <w:bCs/>
          <w:color w:val="000000"/>
          <w:sz w:val="28"/>
          <w:szCs w:val="28"/>
        </w:rPr>
        <w:t>внутрижелудочковой</w:t>
      </w:r>
      <w:proofErr w:type="spellEnd"/>
      <w:r w:rsidRPr="00175E9C">
        <w:rPr>
          <w:rFonts w:ascii="Times New Roman" w:hAnsi="Times New Roman"/>
          <w:bCs/>
          <w:color w:val="000000"/>
          <w:sz w:val="28"/>
          <w:szCs w:val="28"/>
        </w:rPr>
        <w:t xml:space="preserve"> проводимости).</w:t>
      </w:r>
    </w:p>
    <w:p w14:paraId="34C8C502" w14:textId="774D64B8" w:rsidR="002B4756" w:rsidRPr="002B4756" w:rsidRDefault="00175E9C" w:rsidP="002B475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75E9C">
        <w:rPr>
          <w:rFonts w:ascii="Times New Roman" w:hAnsi="Times New Roman"/>
          <w:bCs/>
          <w:i/>
          <w:color w:val="000000"/>
          <w:sz w:val="28"/>
          <w:szCs w:val="28"/>
        </w:rPr>
        <w:t>Лечение:</w:t>
      </w:r>
      <w:r w:rsidRPr="00175E9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B4756" w:rsidRPr="0047085B">
        <w:rPr>
          <w:rFonts w:ascii="Times New Roman" w:hAnsi="Times New Roman"/>
          <w:bCs/>
          <w:color w:val="000000"/>
          <w:sz w:val="28"/>
          <w:szCs w:val="28"/>
        </w:rPr>
        <w:t xml:space="preserve">в случае передозировки пациент должен быть госпитализирован и получить соответствующую поддерживающую терапию. По показаниям следует проводить терапию, направленную на снижение всасывания (активированный уголь). Дальнейшее лечение должно проводиться по клиническим показаниям, принимая во внимание потенциальное воздействие на сердечную проводимость. </w:t>
      </w:r>
      <w:r w:rsidR="002B4756" w:rsidRPr="0047085B">
        <w:rPr>
          <w:rFonts w:ascii="Times New Roman" w:hAnsi="Times New Roman"/>
          <w:color w:val="000000"/>
          <w:sz w:val="28"/>
          <w:szCs w:val="28"/>
        </w:rPr>
        <w:t xml:space="preserve">Для лечения </w:t>
      </w:r>
      <w:proofErr w:type="spellStart"/>
      <w:r w:rsidR="002B4756" w:rsidRPr="0047085B">
        <w:rPr>
          <w:rFonts w:ascii="Times New Roman" w:hAnsi="Times New Roman"/>
          <w:color w:val="000000"/>
          <w:sz w:val="28"/>
          <w:szCs w:val="28"/>
        </w:rPr>
        <w:t>кардиотоксичности</w:t>
      </w:r>
      <w:proofErr w:type="spellEnd"/>
      <w:r w:rsidR="002B4756" w:rsidRPr="0047085B">
        <w:rPr>
          <w:rFonts w:ascii="Times New Roman" w:hAnsi="Times New Roman"/>
          <w:color w:val="000000"/>
          <w:sz w:val="28"/>
          <w:szCs w:val="28"/>
        </w:rPr>
        <w:t>, которая недостаточно реагирует на бикарбонат натрия, может быть рассмотрено применение внутривенной липидной терапии. Опыта</w:t>
      </w:r>
      <w:r w:rsidR="002B4756" w:rsidRPr="0047085B">
        <w:rPr>
          <w:rFonts w:ascii="Times New Roman" w:hAnsi="Times New Roman"/>
          <w:bCs/>
          <w:color w:val="000000"/>
          <w:sz w:val="28"/>
          <w:szCs w:val="28"/>
        </w:rPr>
        <w:t xml:space="preserve"> применения гемодиализа в качестве лечения передозировки нет.</w:t>
      </w:r>
    </w:p>
    <w:p w14:paraId="3BBA9029" w14:textId="68BCCA01" w:rsidR="0028263A" w:rsidRPr="0028263A" w:rsidRDefault="0028263A" w:rsidP="0028263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2C387EC0" w14:textId="77777777" w:rsidR="00175E9C" w:rsidRPr="00175E9C" w:rsidRDefault="00175E9C" w:rsidP="00175E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5E9C">
        <w:rPr>
          <w:rFonts w:ascii="Times New Roman" w:hAnsi="Times New Roman"/>
          <w:b/>
          <w:sz w:val="28"/>
          <w:szCs w:val="28"/>
          <w:lang w:bidi="ru-RU"/>
        </w:rPr>
        <w:t>Рекомендации по обращению за консультацией к медицинскому работнику для разъяснения способа применения лекарственного препарата</w:t>
      </w:r>
    </w:p>
    <w:bookmarkEnd w:id="10"/>
    <w:p w14:paraId="1145F638" w14:textId="77777777" w:rsidR="00175E9C" w:rsidRPr="004755A3" w:rsidRDefault="00175E9C" w:rsidP="00175E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4755A3">
        <w:rPr>
          <w:rFonts w:ascii="Times New Roman" w:hAnsi="Times New Roman"/>
          <w:sz w:val="28"/>
          <w:szCs w:val="28"/>
          <w:lang w:bidi="ru-RU"/>
        </w:rPr>
        <w:t>Обратитесь к врачу или фармацевту за советом прежде, чем принимать лекарственный препарат.</w:t>
      </w:r>
    </w:p>
    <w:p w14:paraId="41BA1353" w14:textId="77777777" w:rsidR="00A12563" w:rsidRPr="009C18D6" w:rsidRDefault="00A12563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A844167" w14:textId="77777777" w:rsidR="001937AD" w:rsidRPr="009C18D6" w:rsidRDefault="001937AD" w:rsidP="00952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1" w:name="2175220282"/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нежелательных реакций</w:t>
      </w:r>
      <w:r w:rsidR="005C4B1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9C18D6">
        <w:rPr>
          <w:rFonts w:ascii="Times New Roman" w:hAnsi="Times New Roman"/>
          <w:b/>
          <w:color w:val="000000"/>
          <w:sz w:val="28"/>
          <w:szCs w:val="28"/>
        </w:rPr>
        <w:t xml:space="preserve">которые проявляются при стандартном применении ЛП и меры, которые следует принять в этом случае </w:t>
      </w:r>
    </w:p>
    <w:p w14:paraId="73448C84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bookmarkStart w:id="12" w:name="_Hlk35516063"/>
      <w:bookmarkStart w:id="13" w:name="_Hlk14776388"/>
      <w:bookmarkEnd w:id="11"/>
      <w:r w:rsidRPr="008C03B5">
        <w:rPr>
          <w:rFonts w:ascii="Times New Roman" w:hAnsi="Times New Roman"/>
          <w:sz w:val="28"/>
          <w:szCs w:val="28"/>
        </w:rPr>
        <w:t>Ниже перечислены нежелательные реакции при применении препарата для лечения эпилепсии и биполярного расстройства, основанные на имеющихся данных.</w:t>
      </w:r>
    </w:p>
    <w:p w14:paraId="27CFAB33" w14:textId="77777777" w:rsidR="008C03B5" w:rsidRPr="008C03B5" w:rsidRDefault="008C03B5" w:rsidP="008C03B5">
      <w:pPr>
        <w:pStyle w:val="ac"/>
        <w:rPr>
          <w:rFonts w:ascii="Times New Roman" w:hAnsi="Times New Roman"/>
          <w:i/>
          <w:iCs/>
          <w:sz w:val="28"/>
          <w:szCs w:val="28"/>
        </w:rPr>
      </w:pPr>
      <w:r w:rsidRPr="008C03B5">
        <w:rPr>
          <w:rFonts w:ascii="Times New Roman" w:hAnsi="Times New Roman"/>
          <w:i/>
          <w:iCs/>
          <w:sz w:val="28"/>
          <w:szCs w:val="28"/>
        </w:rPr>
        <w:t>Очень часто</w:t>
      </w:r>
    </w:p>
    <w:p w14:paraId="64E7981F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головная боль;</w:t>
      </w:r>
    </w:p>
    <w:p w14:paraId="23C3B9E0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кожная сыпь</w:t>
      </w:r>
      <w:r w:rsidRPr="008C03B5">
        <w:rPr>
          <w:rFonts w:ascii="Times New Roman" w:hAnsi="Times New Roman"/>
          <w:sz w:val="28"/>
          <w:szCs w:val="28"/>
          <w:vertAlign w:val="superscript"/>
        </w:rPr>
        <w:t>5</w:t>
      </w:r>
    </w:p>
    <w:p w14:paraId="26BE8D55" w14:textId="77777777" w:rsidR="008C03B5" w:rsidRPr="008C03B5" w:rsidRDefault="008C03B5" w:rsidP="008C03B5">
      <w:pPr>
        <w:pStyle w:val="ac"/>
        <w:rPr>
          <w:rFonts w:ascii="Times New Roman" w:hAnsi="Times New Roman"/>
          <w:i/>
          <w:iCs/>
          <w:sz w:val="28"/>
          <w:szCs w:val="28"/>
        </w:rPr>
      </w:pPr>
      <w:r w:rsidRPr="008C03B5">
        <w:rPr>
          <w:rFonts w:ascii="Times New Roman" w:hAnsi="Times New Roman"/>
          <w:i/>
          <w:iCs/>
          <w:sz w:val="28"/>
          <w:szCs w:val="28"/>
        </w:rPr>
        <w:t>Часто</w:t>
      </w:r>
    </w:p>
    <w:p w14:paraId="7740D03D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агрессия, раздражительность;</w:t>
      </w:r>
    </w:p>
    <w:p w14:paraId="0C81B69D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lastRenderedPageBreak/>
        <w:t>- сонливость, головокружение, тремор, бессонница,</w:t>
      </w:r>
      <w:r w:rsidRPr="008C03B5">
        <w:rPr>
          <w:rFonts w:ascii="Times New Roman" w:hAnsi="Times New Roman"/>
          <w:sz w:val="28"/>
          <w:szCs w:val="28"/>
          <w:lang w:val="en-US"/>
        </w:rPr>
        <w:t> </w:t>
      </w:r>
      <w:r w:rsidRPr="008C03B5">
        <w:rPr>
          <w:rFonts w:ascii="Times New Roman" w:hAnsi="Times New Roman"/>
          <w:sz w:val="28"/>
          <w:szCs w:val="28"/>
        </w:rPr>
        <w:t>возбуждение;</w:t>
      </w:r>
    </w:p>
    <w:p w14:paraId="674761A6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тошнота, рвота, диарея, сухость во рту;</w:t>
      </w:r>
    </w:p>
    <w:p w14:paraId="387A1B7C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артралгия;</w:t>
      </w:r>
    </w:p>
    <w:p w14:paraId="3F7D3964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усталость, боль, боль в спине</w:t>
      </w:r>
    </w:p>
    <w:p w14:paraId="420F86E5" w14:textId="77777777" w:rsidR="008C03B5" w:rsidRPr="008C03B5" w:rsidRDefault="008C03B5" w:rsidP="008C03B5">
      <w:pPr>
        <w:pStyle w:val="ac"/>
        <w:rPr>
          <w:rFonts w:ascii="Times New Roman" w:hAnsi="Times New Roman"/>
          <w:i/>
          <w:iCs/>
          <w:sz w:val="28"/>
          <w:szCs w:val="28"/>
        </w:rPr>
      </w:pPr>
      <w:r w:rsidRPr="008C03B5">
        <w:rPr>
          <w:rFonts w:ascii="Times New Roman" w:hAnsi="Times New Roman"/>
          <w:i/>
          <w:iCs/>
          <w:sz w:val="28"/>
          <w:szCs w:val="28"/>
        </w:rPr>
        <w:t>Нечасто</w:t>
      </w:r>
    </w:p>
    <w:p w14:paraId="68B6E9AA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атаксия;</w:t>
      </w:r>
    </w:p>
    <w:p w14:paraId="4C2EFCDE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диплопия, нечеткое зрение;</w:t>
      </w:r>
    </w:p>
    <w:p w14:paraId="41A7AFE2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C03B5">
        <w:rPr>
          <w:rFonts w:ascii="Times New Roman" w:hAnsi="Times New Roman"/>
          <w:sz w:val="28"/>
          <w:szCs w:val="28"/>
        </w:rPr>
        <w:t>алопеция</w:t>
      </w:r>
      <w:proofErr w:type="spellEnd"/>
      <w:r w:rsidRPr="008C03B5">
        <w:rPr>
          <w:rFonts w:ascii="Times New Roman" w:hAnsi="Times New Roman"/>
          <w:sz w:val="28"/>
          <w:szCs w:val="28"/>
        </w:rPr>
        <w:t>, реакция светочувствительности</w:t>
      </w:r>
    </w:p>
    <w:p w14:paraId="591345C5" w14:textId="77777777" w:rsidR="008C03B5" w:rsidRPr="008C03B5" w:rsidRDefault="008C03B5" w:rsidP="008C03B5">
      <w:pPr>
        <w:pStyle w:val="ac"/>
        <w:rPr>
          <w:rFonts w:ascii="Times New Roman" w:hAnsi="Times New Roman"/>
          <w:i/>
          <w:iCs/>
          <w:sz w:val="28"/>
          <w:szCs w:val="28"/>
        </w:rPr>
      </w:pPr>
      <w:r w:rsidRPr="008C03B5">
        <w:rPr>
          <w:rFonts w:ascii="Times New Roman" w:hAnsi="Times New Roman"/>
          <w:i/>
          <w:iCs/>
          <w:sz w:val="28"/>
          <w:szCs w:val="28"/>
        </w:rPr>
        <w:t>Редко</w:t>
      </w:r>
    </w:p>
    <w:p w14:paraId="53687A25" w14:textId="6B5E1E62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</w:t>
      </w:r>
      <w:r w:rsidR="009470C4">
        <w:rPr>
          <w:rFonts w:ascii="Times New Roman" w:hAnsi="Times New Roman"/>
          <w:sz w:val="28"/>
          <w:szCs w:val="28"/>
        </w:rPr>
        <w:t xml:space="preserve"> </w:t>
      </w:r>
      <w:r w:rsidRPr="008C03B5">
        <w:rPr>
          <w:rFonts w:ascii="Times New Roman" w:hAnsi="Times New Roman"/>
          <w:sz w:val="28"/>
          <w:szCs w:val="28"/>
        </w:rPr>
        <w:t>нистагм, асептический менингит;</w:t>
      </w:r>
    </w:p>
    <w:p w14:paraId="6A22C6A3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конъюнктивит;</w:t>
      </w:r>
    </w:p>
    <w:p w14:paraId="532B5C51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 xml:space="preserve">- синдром </w:t>
      </w:r>
      <w:proofErr w:type="spellStart"/>
      <w:r w:rsidRPr="008C03B5">
        <w:rPr>
          <w:rFonts w:ascii="Times New Roman" w:hAnsi="Times New Roman"/>
          <w:sz w:val="28"/>
          <w:szCs w:val="28"/>
        </w:rPr>
        <w:t>Стивенса</w:t>
      </w:r>
      <w:proofErr w:type="spellEnd"/>
      <w:r w:rsidRPr="008C03B5">
        <w:rPr>
          <w:rFonts w:ascii="Times New Roman" w:hAnsi="Times New Roman"/>
          <w:sz w:val="28"/>
          <w:szCs w:val="28"/>
        </w:rPr>
        <w:t>–Джонсона</w:t>
      </w:r>
    </w:p>
    <w:p w14:paraId="418167FE" w14:textId="77777777" w:rsidR="008C03B5" w:rsidRPr="008C03B5" w:rsidRDefault="008C03B5" w:rsidP="008C03B5">
      <w:pPr>
        <w:pStyle w:val="ac"/>
        <w:rPr>
          <w:rFonts w:ascii="Times New Roman" w:hAnsi="Times New Roman"/>
          <w:i/>
          <w:iCs/>
          <w:sz w:val="28"/>
          <w:szCs w:val="28"/>
        </w:rPr>
      </w:pPr>
      <w:r w:rsidRPr="008C03B5">
        <w:rPr>
          <w:rFonts w:ascii="Times New Roman" w:hAnsi="Times New Roman"/>
          <w:i/>
          <w:iCs/>
          <w:sz w:val="28"/>
          <w:szCs w:val="28"/>
        </w:rPr>
        <w:t>Очень редко</w:t>
      </w:r>
    </w:p>
    <w:p w14:paraId="1C7F4993" w14:textId="14C08ADE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</w:t>
      </w:r>
      <w:r w:rsidR="009470C4">
        <w:rPr>
          <w:rFonts w:ascii="Times New Roman" w:hAnsi="Times New Roman"/>
          <w:sz w:val="28"/>
          <w:szCs w:val="28"/>
        </w:rPr>
        <w:t xml:space="preserve"> </w:t>
      </w:r>
      <w:r w:rsidRPr="008C03B5">
        <w:rPr>
          <w:rFonts w:ascii="Times New Roman" w:hAnsi="Times New Roman"/>
          <w:sz w:val="28"/>
          <w:szCs w:val="28"/>
        </w:rPr>
        <w:t>гематологические нарушения</w:t>
      </w:r>
      <w:proofErr w:type="gramStart"/>
      <w:r w:rsidRPr="008C03B5">
        <w:rPr>
          <w:rFonts w:ascii="Times New Roman" w:hAnsi="Times New Roman"/>
          <w:sz w:val="28"/>
          <w:szCs w:val="28"/>
          <w:vertAlign w:val="superscript"/>
        </w:rPr>
        <w:t>1</w:t>
      </w:r>
      <w:proofErr w:type="gramEnd"/>
      <w:r w:rsidRPr="008C03B5">
        <w:rPr>
          <w:rFonts w:ascii="Times New Roman" w:hAnsi="Times New Roman"/>
          <w:sz w:val="28"/>
          <w:szCs w:val="28"/>
        </w:rPr>
        <w:t xml:space="preserve">, включая </w:t>
      </w:r>
      <w:proofErr w:type="spellStart"/>
      <w:r w:rsidRPr="008C03B5">
        <w:rPr>
          <w:rFonts w:ascii="Times New Roman" w:hAnsi="Times New Roman"/>
          <w:sz w:val="28"/>
          <w:szCs w:val="28"/>
        </w:rPr>
        <w:t>нейтропению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, лейкопению, анемию, тромбоцитопению, </w:t>
      </w:r>
      <w:proofErr w:type="spellStart"/>
      <w:r w:rsidRPr="008C03B5">
        <w:rPr>
          <w:rFonts w:ascii="Times New Roman" w:hAnsi="Times New Roman"/>
          <w:sz w:val="28"/>
          <w:szCs w:val="28"/>
        </w:rPr>
        <w:t>панцитопению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03B5">
        <w:rPr>
          <w:rFonts w:ascii="Times New Roman" w:hAnsi="Times New Roman"/>
          <w:sz w:val="28"/>
          <w:szCs w:val="28"/>
        </w:rPr>
        <w:t>апластическую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анемию, </w:t>
      </w:r>
      <w:proofErr w:type="spellStart"/>
      <w:r w:rsidRPr="008C03B5">
        <w:rPr>
          <w:rFonts w:ascii="Times New Roman" w:hAnsi="Times New Roman"/>
          <w:sz w:val="28"/>
          <w:szCs w:val="28"/>
        </w:rPr>
        <w:t>агранулоцитоз</w:t>
      </w:r>
      <w:proofErr w:type="spellEnd"/>
      <w:r w:rsidRPr="008C03B5">
        <w:rPr>
          <w:rFonts w:ascii="Times New Roman" w:hAnsi="Times New Roman"/>
          <w:sz w:val="28"/>
          <w:szCs w:val="28"/>
        </w:rPr>
        <w:t>;</w:t>
      </w:r>
    </w:p>
    <w:p w14:paraId="5A365F1F" w14:textId="399C24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</w:t>
      </w:r>
      <w:r w:rsidR="009470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3B5">
        <w:rPr>
          <w:rFonts w:ascii="Times New Roman" w:hAnsi="Times New Roman"/>
          <w:sz w:val="28"/>
          <w:szCs w:val="28"/>
        </w:rPr>
        <w:t>гемофагоцитарный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3B5">
        <w:rPr>
          <w:rFonts w:ascii="Times New Roman" w:hAnsi="Times New Roman"/>
          <w:sz w:val="28"/>
          <w:szCs w:val="28"/>
        </w:rPr>
        <w:t>лимфогистиоцитоз</w:t>
      </w:r>
      <w:proofErr w:type="spellEnd"/>
      <w:r w:rsidRPr="008C03B5">
        <w:rPr>
          <w:rFonts w:ascii="Times New Roman" w:hAnsi="Times New Roman"/>
          <w:sz w:val="28"/>
          <w:szCs w:val="28"/>
        </w:rPr>
        <w:t>;</w:t>
      </w:r>
    </w:p>
    <w:p w14:paraId="72EC167A" w14:textId="362FBD73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</w:t>
      </w:r>
      <w:r w:rsidR="009470C4">
        <w:rPr>
          <w:rFonts w:ascii="Times New Roman" w:hAnsi="Times New Roman"/>
          <w:sz w:val="28"/>
          <w:szCs w:val="28"/>
        </w:rPr>
        <w:t xml:space="preserve"> </w:t>
      </w:r>
      <w:r w:rsidRPr="008C03B5">
        <w:rPr>
          <w:rFonts w:ascii="Times New Roman" w:hAnsi="Times New Roman"/>
          <w:sz w:val="28"/>
          <w:szCs w:val="28"/>
        </w:rPr>
        <w:t>синдром гиперчувствительности</w:t>
      </w:r>
      <w:proofErr w:type="gramStart"/>
      <w:r w:rsidRPr="008C03B5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8C03B5">
        <w:rPr>
          <w:rFonts w:ascii="Times New Roman" w:hAnsi="Times New Roman"/>
          <w:sz w:val="28"/>
          <w:szCs w:val="28"/>
        </w:rPr>
        <w:t xml:space="preserve"> (включая такие симптомы, как лихорадка, </w:t>
      </w:r>
      <w:proofErr w:type="spellStart"/>
      <w:r w:rsidRPr="008C03B5">
        <w:rPr>
          <w:rFonts w:ascii="Times New Roman" w:hAnsi="Times New Roman"/>
          <w:sz w:val="28"/>
          <w:szCs w:val="28"/>
        </w:rPr>
        <w:t>лимфаденопатия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, отек лица, гематологические нарушения, нарушения со стороны печени и почек, диссеминированное внутрисосудистое свертывание, </w:t>
      </w:r>
      <w:proofErr w:type="spellStart"/>
      <w:r w:rsidRPr="008C03B5">
        <w:rPr>
          <w:rFonts w:ascii="Times New Roman" w:hAnsi="Times New Roman"/>
          <w:sz w:val="28"/>
          <w:szCs w:val="28"/>
        </w:rPr>
        <w:t>полиорганная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недостаточность);</w:t>
      </w:r>
    </w:p>
    <w:p w14:paraId="66274DF0" w14:textId="26BAF41A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 xml:space="preserve">- спутанность сознания, галлюцинации, </w:t>
      </w:r>
      <w:r w:rsidR="0073361A" w:rsidRPr="0047085B">
        <w:rPr>
          <w:rFonts w:ascii="Times New Roman" w:hAnsi="Times New Roman"/>
          <w:sz w:val="28"/>
          <w:szCs w:val="28"/>
        </w:rPr>
        <w:t>н</w:t>
      </w:r>
      <w:r w:rsidRPr="0047085B">
        <w:rPr>
          <w:rFonts w:ascii="Times New Roman" w:hAnsi="Times New Roman"/>
          <w:sz w:val="28"/>
          <w:szCs w:val="28"/>
        </w:rPr>
        <w:t>еконтролируемые повторяющиеся движения тела и/или звуки или слова (тики), неконтролируемые мышечные спазмы, поражающие глаза, голову и туловище (</w:t>
      </w:r>
      <w:proofErr w:type="spellStart"/>
      <w:r w:rsidRPr="0047085B">
        <w:rPr>
          <w:rFonts w:ascii="Times New Roman" w:hAnsi="Times New Roman"/>
          <w:sz w:val="28"/>
          <w:szCs w:val="28"/>
        </w:rPr>
        <w:t>хореоатетоз</w:t>
      </w:r>
      <w:proofErr w:type="spellEnd"/>
      <w:r w:rsidRPr="0047085B">
        <w:rPr>
          <w:rFonts w:ascii="Times New Roman" w:hAnsi="Times New Roman"/>
          <w:sz w:val="28"/>
          <w:szCs w:val="28"/>
        </w:rPr>
        <w:t>), или другие необычные движения тела, такие как подергивания, тряска или скованность;</w:t>
      </w:r>
    </w:p>
    <w:p w14:paraId="0CE5E7B4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нарушение равновесия, двигательные расстройства, ухудшение течения болезни Паркинсона</w:t>
      </w:r>
      <w:r w:rsidRPr="008C03B5">
        <w:rPr>
          <w:rFonts w:ascii="Times New Roman" w:hAnsi="Times New Roman"/>
          <w:sz w:val="28"/>
          <w:szCs w:val="28"/>
          <w:vertAlign w:val="superscript"/>
        </w:rPr>
        <w:t>3</w:t>
      </w:r>
      <w:r w:rsidRPr="008C03B5">
        <w:rPr>
          <w:rFonts w:ascii="Times New Roman" w:hAnsi="Times New Roman"/>
          <w:sz w:val="28"/>
          <w:szCs w:val="28"/>
        </w:rPr>
        <w:t xml:space="preserve">, экстрапирамидные расстройства, </w:t>
      </w:r>
      <w:proofErr w:type="spellStart"/>
      <w:r w:rsidRPr="008C03B5">
        <w:rPr>
          <w:rFonts w:ascii="Times New Roman" w:hAnsi="Times New Roman"/>
          <w:sz w:val="28"/>
          <w:szCs w:val="28"/>
        </w:rPr>
        <w:t>хореоатетоз</w:t>
      </w:r>
      <w:proofErr w:type="spellEnd"/>
      <w:r w:rsidRPr="008C03B5">
        <w:rPr>
          <w:rFonts w:ascii="Times New Roman" w:hAnsi="Times New Roman"/>
          <w:sz w:val="28"/>
          <w:szCs w:val="28"/>
        </w:rPr>
        <w:t>, повышение частоты припадков;</w:t>
      </w:r>
    </w:p>
    <w:p w14:paraId="6AF68D00" w14:textId="6083C4E9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</w:t>
      </w:r>
      <w:r w:rsidR="009470C4">
        <w:rPr>
          <w:rFonts w:ascii="Times New Roman" w:hAnsi="Times New Roman"/>
          <w:sz w:val="28"/>
          <w:szCs w:val="28"/>
        </w:rPr>
        <w:t xml:space="preserve"> </w:t>
      </w:r>
      <w:r w:rsidRPr="008C03B5">
        <w:rPr>
          <w:rFonts w:ascii="Times New Roman" w:hAnsi="Times New Roman"/>
          <w:sz w:val="28"/>
          <w:szCs w:val="28"/>
        </w:rPr>
        <w:t>печеночная недостаточность, нарушение функции печени</w:t>
      </w:r>
      <w:proofErr w:type="gramStart"/>
      <w:r w:rsidRPr="008C03B5">
        <w:rPr>
          <w:rFonts w:ascii="Times New Roman" w:hAnsi="Times New Roman"/>
          <w:sz w:val="28"/>
          <w:szCs w:val="28"/>
          <w:vertAlign w:val="superscript"/>
        </w:rPr>
        <w:t>4</w:t>
      </w:r>
      <w:proofErr w:type="gramEnd"/>
      <w:r w:rsidRPr="008C03B5">
        <w:rPr>
          <w:rFonts w:ascii="Times New Roman" w:hAnsi="Times New Roman"/>
          <w:sz w:val="28"/>
          <w:szCs w:val="28"/>
        </w:rPr>
        <w:t>, повышение показателей функциональных проб печени;</w:t>
      </w:r>
    </w:p>
    <w:p w14:paraId="0F8C2413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 xml:space="preserve">- токсический </w:t>
      </w:r>
      <w:proofErr w:type="spellStart"/>
      <w:r w:rsidRPr="008C03B5">
        <w:rPr>
          <w:rFonts w:ascii="Times New Roman" w:hAnsi="Times New Roman"/>
          <w:sz w:val="28"/>
          <w:szCs w:val="28"/>
        </w:rPr>
        <w:t>эпидермальный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3B5">
        <w:rPr>
          <w:rFonts w:ascii="Times New Roman" w:hAnsi="Times New Roman"/>
          <w:sz w:val="28"/>
          <w:szCs w:val="28"/>
        </w:rPr>
        <w:t>некролиз</w:t>
      </w:r>
      <w:proofErr w:type="spellEnd"/>
      <w:r w:rsidRPr="008C03B5">
        <w:rPr>
          <w:rFonts w:ascii="Times New Roman" w:hAnsi="Times New Roman"/>
          <w:sz w:val="28"/>
          <w:szCs w:val="28"/>
        </w:rPr>
        <w:t>;</w:t>
      </w:r>
    </w:p>
    <w:p w14:paraId="0E50B61C" w14:textId="3A25FA35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</w:t>
      </w:r>
      <w:r w:rsidR="009470C4">
        <w:rPr>
          <w:rFonts w:ascii="Times New Roman" w:hAnsi="Times New Roman"/>
          <w:sz w:val="28"/>
          <w:szCs w:val="28"/>
        </w:rPr>
        <w:t xml:space="preserve"> </w:t>
      </w:r>
      <w:r w:rsidRPr="008C03B5">
        <w:rPr>
          <w:rFonts w:ascii="Times New Roman" w:hAnsi="Times New Roman"/>
          <w:sz w:val="28"/>
          <w:szCs w:val="28"/>
        </w:rPr>
        <w:t xml:space="preserve">лекарственная сыпь с </w:t>
      </w:r>
      <w:proofErr w:type="spellStart"/>
      <w:r w:rsidRPr="008C03B5">
        <w:rPr>
          <w:rFonts w:ascii="Times New Roman" w:hAnsi="Times New Roman"/>
          <w:sz w:val="28"/>
          <w:szCs w:val="28"/>
        </w:rPr>
        <w:t>эозинофилией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и системными</w:t>
      </w:r>
      <w:proofErr w:type="gramStart"/>
      <w:r w:rsidRPr="008C03B5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8C03B5">
        <w:rPr>
          <w:rFonts w:ascii="Times New Roman" w:hAnsi="Times New Roman"/>
          <w:sz w:val="28"/>
          <w:szCs w:val="28"/>
        </w:rPr>
        <w:t xml:space="preserve"> симптомами;</w:t>
      </w:r>
    </w:p>
    <w:p w14:paraId="49671568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волчаночно-подобные реакции</w:t>
      </w:r>
    </w:p>
    <w:p w14:paraId="12AD0A54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i/>
          <w:iCs/>
          <w:sz w:val="28"/>
          <w:szCs w:val="28"/>
        </w:rPr>
        <w:t>Неизвестно</w:t>
      </w:r>
    </w:p>
    <w:p w14:paraId="1372004D" w14:textId="7ECDFC18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лимфаденопатия</w:t>
      </w:r>
      <w:proofErr w:type="gramStart"/>
      <w:r w:rsidRPr="008C03B5">
        <w:rPr>
          <w:rFonts w:ascii="Times New Roman" w:hAnsi="Times New Roman"/>
          <w:sz w:val="28"/>
          <w:szCs w:val="28"/>
          <w:vertAlign w:val="superscript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 w:rsidRPr="0047085B">
        <w:rPr>
          <w:rFonts w:ascii="Times New Roman" w:hAnsi="Times New Roman"/>
          <w:sz w:val="28"/>
          <w:szCs w:val="28"/>
        </w:rPr>
        <w:t>красные узелки или пятна на коже (</w:t>
      </w:r>
      <w:proofErr w:type="spellStart"/>
      <w:r w:rsidRPr="0047085B">
        <w:rPr>
          <w:rFonts w:ascii="Times New Roman" w:hAnsi="Times New Roman"/>
          <w:sz w:val="28"/>
          <w:szCs w:val="28"/>
        </w:rPr>
        <w:t>псе</w:t>
      </w:r>
      <w:r w:rsidR="00FD55A9">
        <w:rPr>
          <w:rFonts w:ascii="Times New Roman" w:hAnsi="Times New Roman"/>
          <w:sz w:val="28"/>
          <w:szCs w:val="28"/>
        </w:rPr>
        <w:t>в</w:t>
      </w:r>
      <w:r w:rsidRPr="0047085B">
        <w:rPr>
          <w:rFonts w:ascii="Times New Roman" w:hAnsi="Times New Roman"/>
          <w:sz w:val="28"/>
          <w:szCs w:val="28"/>
        </w:rPr>
        <w:t>долимф</w:t>
      </w:r>
      <w:r w:rsidR="00FD55A9">
        <w:rPr>
          <w:rFonts w:ascii="Times New Roman" w:hAnsi="Times New Roman"/>
          <w:sz w:val="28"/>
          <w:szCs w:val="28"/>
        </w:rPr>
        <w:t>ом</w:t>
      </w:r>
      <w:r w:rsidRPr="0047085B">
        <w:rPr>
          <w:rFonts w:ascii="Times New Roman" w:hAnsi="Times New Roman"/>
          <w:sz w:val="28"/>
          <w:szCs w:val="28"/>
        </w:rPr>
        <w:t>а</w:t>
      </w:r>
      <w:proofErr w:type="spellEnd"/>
      <w:r w:rsidRPr="0047085B">
        <w:rPr>
          <w:rFonts w:ascii="Times New Roman" w:hAnsi="Times New Roman"/>
          <w:sz w:val="28"/>
          <w:szCs w:val="28"/>
        </w:rPr>
        <w:t>);</w:t>
      </w:r>
    </w:p>
    <w:p w14:paraId="17823DE7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C03B5">
        <w:rPr>
          <w:rFonts w:ascii="Times New Roman" w:hAnsi="Times New Roman"/>
          <w:sz w:val="28"/>
          <w:szCs w:val="28"/>
        </w:rPr>
        <w:t>гипогаммаглобулинемия</w:t>
      </w:r>
      <w:proofErr w:type="spellEnd"/>
      <w:r w:rsidRPr="008C03B5">
        <w:rPr>
          <w:rFonts w:ascii="Times New Roman" w:hAnsi="Times New Roman"/>
          <w:sz w:val="28"/>
          <w:szCs w:val="28"/>
        </w:rPr>
        <w:t>;</w:t>
      </w:r>
    </w:p>
    <w:p w14:paraId="7A8D75AC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- ночные кошмары;</w:t>
      </w:r>
    </w:p>
    <w:p w14:paraId="1FE82E83" w14:textId="77777777" w:rsidR="008C03B5" w:rsidRPr="008C03B5" w:rsidRDefault="008C03B5" w:rsidP="008C03B5">
      <w:pPr>
        <w:pStyle w:val="ac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C03B5">
        <w:rPr>
          <w:rFonts w:ascii="Times New Roman" w:hAnsi="Times New Roman"/>
          <w:sz w:val="28"/>
          <w:szCs w:val="28"/>
        </w:rPr>
        <w:t>тубулоинтерстициальный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нефрит, </w:t>
      </w:r>
      <w:proofErr w:type="spellStart"/>
      <w:r w:rsidRPr="008C03B5">
        <w:rPr>
          <w:rFonts w:ascii="Times New Roman" w:hAnsi="Times New Roman"/>
          <w:sz w:val="28"/>
          <w:szCs w:val="28"/>
        </w:rPr>
        <w:t>тубулоинтерстициальный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нефрит и </w:t>
      </w:r>
      <w:proofErr w:type="spellStart"/>
      <w:r w:rsidRPr="008C03B5">
        <w:rPr>
          <w:rFonts w:ascii="Times New Roman" w:hAnsi="Times New Roman"/>
          <w:sz w:val="28"/>
          <w:szCs w:val="28"/>
        </w:rPr>
        <w:t>увеит</w:t>
      </w:r>
      <w:proofErr w:type="spellEnd"/>
    </w:p>
    <w:p w14:paraId="1009AAAC" w14:textId="77777777" w:rsidR="008C03B5" w:rsidRPr="008C03B5" w:rsidRDefault="008C03B5" w:rsidP="0073361A">
      <w:pPr>
        <w:pStyle w:val="ac"/>
        <w:jc w:val="both"/>
        <w:rPr>
          <w:rFonts w:ascii="Times New Roman" w:hAnsi="Times New Roman"/>
          <w:sz w:val="28"/>
          <w:szCs w:val="28"/>
          <w:u w:val="single"/>
        </w:rPr>
      </w:pPr>
      <w:r w:rsidRPr="008C03B5">
        <w:rPr>
          <w:rFonts w:ascii="Times New Roman" w:hAnsi="Times New Roman"/>
          <w:sz w:val="28"/>
          <w:szCs w:val="28"/>
          <w:u w:val="single"/>
        </w:rPr>
        <w:t>Описание отдельных нежелательных реакций</w:t>
      </w:r>
    </w:p>
    <w:p w14:paraId="5DE547CC" w14:textId="77777777" w:rsidR="008C03B5" w:rsidRPr="008C03B5" w:rsidRDefault="008C03B5" w:rsidP="007336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  <w:vertAlign w:val="superscript"/>
        </w:rPr>
        <w:t>1</w:t>
      </w:r>
      <w:r w:rsidRPr="008C03B5">
        <w:rPr>
          <w:rFonts w:ascii="Times New Roman" w:hAnsi="Times New Roman"/>
          <w:sz w:val="28"/>
          <w:szCs w:val="28"/>
        </w:rPr>
        <w:t xml:space="preserve"> Гематологические нарушения и </w:t>
      </w:r>
      <w:proofErr w:type="spellStart"/>
      <w:r w:rsidRPr="008C03B5">
        <w:rPr>
          <w:rFonts w:ascii="Times New Roman" w:hAnsi="Times New Roman"/>
          <w:sz w:val="28"/>
          <w:szCs w:val="28"/>
        </w:rPr>
        <w:t>лимфаденопатия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возможно связанны и не связаны с реакцией на лекарства с </w:t>
      </w:r>
      <w:proofErr w:type="spellStart"/>
      <w:r w:rsidRPr="008C03B5">
        <w:rPr>
          <w:rFonts w:ascii="Times New Roman" w:hAnsi="Times New Roman"/>
          <w:sz w:val="28"/>
          <w:szCs w:val="28"/>
        </w:rPr>
        <w:t>эозинофилией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и системными симптомами/синдромом гиперчувствительности (см. нарушения со стороны иммунной системы).</w:t>
      </w:r>
    </w:p>
    <w:p w14:paraId="4000499B" w14:textId="2E6568EF" w:rsidR="008C03B5" w:rsidRPr="008C03B5" w:rsidRDefault="008C03B5" w:rsidP="007336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  <w:vertAlign w:val="superscript"/>
        </w:rPr>
        <w:lastRenderedPageBreak/>
        <w:t xml:space="preserve">2 </w:t>
      </w:r>
      <w:r w:rsidRPr="008C03B5">
        <w:rPr>
          <w:rFonts w:ascii="Times New Roman" w:hAnsi="Times New Roman"/>
          <w:sz w:val="28"/>
          <w:szCs w:val="28"/>
        </w:rPr>
        <w:t xml:space="preserve">Также сообщалось о случаях сыпи, развивающейся в рамках синдрома гиперчувствительности, в сочетании с различными системными симптомами, включая лихорадку, </w:t>
      </w:r>
      <w:proofErr w:type="spellStart"/>
      <w:r w:rsidRPr="008C03B5">
        <w:rPr>
          <w:rFonts w:ascii="Times New Roman" w:hAnsi="Times New Roman"/>
          <w:sz w:val="28"/>
          <w:szCs w:val="28"/>
        </w:rPr>
        <w:t>лимфаденопатию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, отек лица, гематологические нарушения и нарушения со стороны печени. Синдром характеризуется широким спектром клинической тяжести и в редких случаях может привести к развитию диссеминированного внутрисосудистого свертывания и </w:t>
      </w:r>
      <w:proofErr w:type="spellStart"/>
      <w:r w:rsidRPr="008C03B5">
        <w:rPr>
          <w:rFonts w:ascii="Times New Roman" w:hAnsi="Times New Roman"/>
          <w:sz w:val="28"/>
          <w:szCs w:val="28"/>
        </w:rPr>
        <w:t>полиорганной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недостаточности. Важно отметить, что ранние проявления гиперчувствительности (например, лихорадка, </w:t>
      </w:r>
      <w:proofErr w:type="spellStart"/>
      <w:r w:rsidRPr="008C03B5">
        <w:rPr>
          <w:rFonts w:ascii="Times New Roman" w:hAnsi="Times New Roman"/>
          <w:sz w:val="28"/>
          <w:szCs w:val="28"/>
        </w:rPr>
        <w:t>лимфаденопатия</w:t>
      </w:r>
      <w:proofErr w:type="spellEnd"/>
      <w:r w:rsidRPr="008C03B5">
        <w:rPr>
          <w:rFonts w:ascii="Times New Roman" w:hAnsi="Times New Roman"/>
          <w:sz w:val="28"/>
          <w:szCs w:val="28"/>
        </w:rPr>
        <w:t>) могут присутствовать даже в отсутствии кожных высыпаний. При наличии таких признаков и симптомов пациента следует немедленно обследовать, и прекратить прием препарата Л</w:t>
      </w:r>
      <w:r w:rsidR="002B4756">
        <w:rPr>
          <w:rFonts w:ascii="Times New Roman" w:hAnsi="Times New Roman"/>
          <w:sz w:val="28"/>
          <w:szCs w:val="28"/>
        </w:rPr>
        <w:t>АНИСТОР</w:t>
      </w:r>
      <w:r w:rsidRPr="008C03B5">
        <w:rPr>
          <w:rFonts w:ascii="Times New Roman" w:hAnsi="Times New Roman"/>
          <w:sz w:val="28"/>
          <w:szCs w:val="28"/>
          <w:vertAlign w:val="superscript"/>
        </w:rPr>
        <w:t>®</w:t>
      </w:r>
      <w:r w:rsidRPr="008C03B5">
        <w:rPr>
          <w:rFonts w:ascii="Times New Roman" w:hAnsi="Times New Roman"/>
          <w:sz w:val="28"/>
          <w:szCs w:val="28"/>
        </w:rPr>
        <w:t xml:space="preserve">, при невозможности установить альтернативную этиологию. </w:t>
      </w:r>
    </w:p>
    <w:p w14:paraId="661499BF" w14:textId="77777777" w:rsidR="008C03B5" w:rsidRPr="008C03B5" w:rsidRDefault="008C03B5" w:rsidP="007336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  <w:vertAlign w:val="superscript"/>
        </w:rPr>
        <w:t>3</w:t>
      </w:r>
      <w:r w:rsidRPr="008C03B5">
        <w:rPr>
          <w:rFonts w:ascii="Times New Roman" w:hAnsi="Times New Roman"/>
          <w:sz w:val="28"/>
          <w:szCs w:val="28"/>
        </w:rPr>
        <w:t xml:space="preserve"> Сообщения о данных реакциях получены из других источников клинической практики. Сообщалось, что </w:t>
      </w:r>
      <w:proofErr w:type="spellStart"/>
      <w:r w:rsidRPr="008C03B5">
        <w:rPr>
          <w:rFonts w:ascii="Times New Roman" w:hAnsi="Times New Roman"/>
          <w:sz w:val="28"/>
          <w:szCs w:val="28"/>
        </w:rPr>
        <w:t>ламотриджин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может ухудшать симптомы паркинсонизма у пациентов с болезнью Паркинсона, в отдельных сообщениях описаны экстрапирамидные реакции и </w:t>
      </w:r>
      <w:proofErr w:type="spellStart"/>
      <w:r w:rsidRPr="008C03B5">
        <w:rPr>
          <w:rFonts w:ascii="Times New Roman" w:hAnsi="Times New Roman"/>
          <w:sz w:val="28"/>
          <w:szCs w:val="28"/>
        </w:rPr>
        <w:t>хореоатетоз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у пациентов, не имеющих данного фонового заболевания.</w:t>
      </w:r>
    </w:p>
    <w:p w14:paraId="3F5B1771" w14:textId="77777777" w:rsidR="008C03B5" w:rsidRPr="008C03B5" w:rsidRDefault="008C03B5" w:rsidP="007336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  <w:vertAlign w:val="superscript"/>
        </w:rPr>
        <w:t>4</w:t>
      </w:r>
      <w:r w:rsidRPr="008C03B5">
        <w:rPr>
          <w:rFonts w:ascii="Times New Roman" w:hAnsi="Times New Roman"/>
          <w:sz w:val="28"/>
          <w:szCs w:val="28"/>
        </w:rPr>
        <w:t> Нарушение функции печени обычно связано с реакциями гиперчувствительности, но сообщалось об отдельных случаях без явных признаков гиперчувствительности.</w:t>
      </w:r>
    </w:p>
    <w:p w14:paraId="249F28D6" w14:textId="3EEFB5B8" w:rsidR="008C03B5" w:rsidRPr="008C03B5" w:rsidRDefault="008C03B5" w:rsidP="007336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  <w:vertAlign w:val="superscript"/>
        </w:rPr>
        <w:t>5</w:t>
      </w:r>
      <w:proofErr w:type="gramStart"/>
      <w:r w:rsidR="009470C4">
        <w:rPr>
          <w:rFonts w:ascii="Times New Roman" w:hAnsi="Times New Roman"/>
          <w:sz w:val="28"/>
          <w:szCs w:val="28"/>
        </w:rPr>
        <w:t xml:space="preserve"> </w:t>
      </w:r>
      <w:r w:rsidRPr="008C03B5">
        <w:rPr>
          <w:rFonts w:ascii="Times New Roman" w:hAnsi="Times New Roman"/>
          <w:sz w:val="28"/>
          <w:szCs w:val="28"/>
        </w:rPr>
        <w:t>В</w:t>
      </w:r>
      <w:proofErr w:type="gramEnd"/>
      <w:r w:rsidRPr="008C03B5">
        <w:rPr>
          <w:rFonts w:ascii="Times New Roman" w:hAnsi="Times New Roman"/>
          <w:sz w:val="28"/>
          <w:szCs w:val="28"/>
        </w:rPr>
        <w:t xml:space="preserve"> клинических исследованиях с участием взрослых кожная сыпь встречалась у 8-12</w:t>
      </w:r>
      <w:r w:rsidRPr="008C03B5">
        <w:rPr>
          <w:rFonts w:ascii="Times New Roman" w:hAnsi="Times New Roman"/>
          <w:sz w:val="28"/>
          <w:szCs w:val="28"/>
          <w:lang w:val="kk-KZ"/>
        </w:rPr>
        <w:t> </w:t>
      </w:r>
      <w:r w:rsidRPr="008C03B5">
        <w:rPr>
          <w:rFonts w:ascii="Times New Roman" w:hAnsi="Times New Roman"/>
          <w:sz w:val="28"/>
          <w:szCs w:val="28"/>
        </w:rPr>
        <w:t xml:space="preserve">% пациентов, получавших </w:t>
      </w:r>
      <w:proofErr w:type="spellStart"/>
      <w:r w:rsidRPr="008C03B5">
        <w:rPr>
          <w:rFonts w:ascii="Times New Roman" w:hAnsi="Times New Roman"/>
          <w:sz w:val="28"/>
          <w:szCs w:val="28"/>
        </w:rPr>
        <w:t>ламотриджин</w:t>
      </w:r>
      <w:proofErr w:type="spellEnd"/>
      <w:r w:rsidRPr="008C03B5">
        <w:rPr>
          <w:rFonts w:ascii="Times New Roman" w:hAnsi="Times New Roman"/>
          <w:sz w:val="28"/>
          <w:szCs w:val="28"/>
        </w:rPr>
        <w:t>, и у 5-6</w:t>
      </w:r>
      <w:r w:rsidRPr="008C03B5">
        <w:rPr>
          <w:rFonts w:ascii="Times New Roman" w:hAnsi="Times New Roman"/>
          <w:sz w:val="28"/>
          <w:szCs w:val="28"/>
          <w:lang w:val="kk-KZ"/>
        </w:rPr>
        <w:t> </w:t>
      </w:r>
      <w:r w:rsidRPr="008C03B5">
        <w:rPr>
          <w:rFonts w:ascii="Times New Roman" w:hAnsi="Times New Roman"/>
          <w:sz w:val="28"/>
          <w:szCs w:val="28"/>
        </w:rPr>
        <w:t xml:space="preserve">% пациентов, получавших плацебо. Кожная сыпь привела к отмене лечения </w:t>
      </w:r>
      <w:proofErr w:type="spellStart"/>
      <w:r w:rsidRPr="008C03B5">
        <w:rPr>
          <w:rFonts w:ascii="Times New Roman" w:hAnsi="Times New Roman"/>
          <w:sz w:val="28"/>
          <w:szCs w:val="28"/>
        </w:rPr>
        <w:t>ламотриджином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у 2</w:t>
      </w:r>
      <w:r w:rsidRPr="008C03B5">
        <w:rPr>
          <w:rFonts w:ascii="Times New Roman" w:hAnsi="Times New Roman"/>
          <w:sz w:val="28"/>
          <w:szCs w:val="28"/>
          <w:lang w:val="kk-KZ"/>
        </w:rPr>
        <w:t> </w:t>
      </w:r>
      <w:r w:rsidRPr="008C03B5">
        <w:rPr>
          <w:rFonts w:ascii="Times New Roman" w:hAnsi="Times New Roman"/>
          <w:sz w:val="28"/>
          <w:szCs w:val="28"/>
        </w:rPr>
        <w:t xml:space="preserve">% пациентов. Сыпь, обычно </w:t>
      </w:r>
      <w:proofErr w:type="spellStart"/>
      <w:r w:rsidRPr="008C03B5">
        <w:rPr>
          <w:rFonts w:ascii="Times New Roman" w:hAnsi="Times New Roman"/>
          <w:sz w:val="28"/>
          <w:szCs w:val="28"/>
        </w:rPr>
        <w:t>макулопапулезная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, как правило, развивается в течение восьми недель после начала лечения и проходит после отмены препарата </w:t>
      </w:r>
      <w:r w:rsidR="002B4756">
        <w:rPr>
          <w:rFonts w:ascii="Times New Roman" w:hAnsi="Times New Roman"/>
          <w:sz w:val="28"/>
          <w:szCs w:val="28"/>
        </w:rPr>
        <w:t>ЛАНИСТОР</w:t>
      </w:r>
      <w:bookmarkStart w:id="14" w:name="_GoBack"/>
      <w:r w:rsidR="002B4756" w:rsidRPr="00FC0644">
        <w:rPr>
          <w:rFonts w:ascii="Times New Roman" w:hAnsi="Times New Roman"/>
          <w:sz w:val="28"/>
          <w:szCs w:val="28"/>
          <w:vertAlign w:val="superscript"/>
        </w:rPr>
        <w:t>®</w:t>
      </w:r>
      <w:bookmarkEnd w:id="14"/>
      <w:r w:rsidRPr="008C03B5">
        <w:rPr>
          <w:rFonts w:ascii="Times New Roman" w:hAnsi="Times New Roman"/>
          <w:sz w:val="28"/>
          <w:szCs w:val="28"/>
        </w:rPr>
        <w:t>.</w:t>
      </w:r>
    </w:p>
    <w:p w14:paraId="08EE6AF8" w14:textId="77777777" w:rsidR="008C03B5" w:rsidRPr="008C03B5" w:rsidRDefault="008C03B5" w:rsidP="007336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 xml:space="preserve">Сообщалось о серьезных случаях кожных высыпаний, потенциально опасных для жизни, включая синдром </w:t>
      </w:r>
      <w:proofErr w:type="spellStart"/>
      <w:r w:rsidRPr="008C03B5">
        <w:rPr>
          <w:rFonts w:ascii="Times New Roman" w:hAnsi="Times New Roman"/>
          <w:sz w:val="28"/>
          <w:szCs w:val="28"/>
        </w:rPr>
        <w:t>Стивенса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-Джонсона и токсический </w:t>
      </w:r>
      <w:proofErr w:type="spellStart"/>
      <w:r w:rsidRPr="008C03B5">
        <w:rPr>
          <w:rFonts w:ascii="Times New Roman" w:hAnsi="Times New Roman"/>
          <w:sz w:val="28"/>
          <w:szCs w:val="28"/>
        </w:rPr>
        <w:t>эпидермальный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3B5">
        <w:rPr>
          <w:rFonts w:ascii="Times New Roman" w:hAnsi="Times New Roman"/>
          <w:sz w:val="28"/>
          <w:szCs w:val="28"/>
        </w:rPr>
        <w:t>некролиз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(синдром </w:t>
      </w:r>
      <w:proofErr w:type="spellStart"/>
      <w:r w:rsidRPr="008C03B5">
        <w:rPr>
          <w:rFonts w:ascii="Times New Roman" w:hAnsi="Times New Roman"/>
          <w:sz w:val="28"/>
          <w:szCs w:val="28"/>
        </w:rPr>
        <w:t>Лайелла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) и лекарственную реакцию с </w:t>
      </w:r>
      <w:proofErr w:type="spellStart"/>
      <w:r w:rsidRPr="008C03B5">
        <w:rPr>
          <w:rFonts w:ascii="Times New Roman" w:hAnsi="Times New Roman"/>
          <w:sz w:val="28"/>
          <w:szCs w:val="28"/>
        </w:rPr>
        <w:t>эозинофилией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и системными симптомами (DRESS). Хотя большинство случаев прошли после отмены приема </w:t>
      </w:r>
      <w:proofErr w:type="spellStart"/>
      <w:r w:rsidRPr="008C03B5">
        <w:rPr>
          <w:rFonts w:ascii="Times New Roman" w:hAnsi="Times New Roman"/>
          <w:sz w:val="28"/>
          <w:szCs w:val="28"/>
        </w:rPr>
        <w:t>ламотриджином</w:t>
      </w:r>
      <w:proofErr w:type="spellEnd"/>
      <w:r w:rsidRPr="008C03B5">
        <w:rPr>
          <w:rFonts w:ascii="Times New Roman" w:hAnsi="Times New Roman"/>
          <w:sz w:val="28"/>
          <w:szCs w:val="28"/>
        </w:rPr>
        <w:t>, у некоторых пациентов остались необратимые последствия, и, в редких случаях, нежелательные реакции приводили к летальному исходу.</w:t>
      </w:r>
    </w:p>
    <w:p w14:paraId="3D8A5BAC" w14:textId="77777777" w:rsidR="008C03B5" w:rsidRPr="008C03B5" w:rsidRDefault="008C03B5" w:rsidP="007336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Общий риск появления сыпи тесно связан со следующими факторами:</w:t>
      </w:r>
    </w:p>
    <w:p w14:paraId="7FEBBC6F" w14:textId="77777777" w:rsidR="008C03B5" w:rsidRPr="008C03B5" w:rsidRDefault="008C03B5" w:rsidP="0073361A">
      <w:pPr>
        <w:pStyle w:val="ac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 xml:space="preserve">высокими начальными дозами </w:t>
      </w:r>
      <w:proofErr w:type="spellStart"/>
      <w:r w:rsidRPr="008C03B5">
        <w:rPr>
          <w:rFonts w:ascii="Times New Roman" w:hAnsi="Times New Roman"/>
          <w:sz w:val="28"/>
          <w:szCs w:val="28"/>
        </w:rPr>
        <w:t>ламотриджина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и превышением рекомендуемой схемы повышения дозы при терапии </w:t>
      </w:r>
      <w:proofErr w:type="spellStart"/>
      <w:r w:rsidRPr="008C03B5">
        <w:rPr>
          <w:rFonts w:ascii="Times New Roman" w:hAnsi="Times New Roman"/>
          <w:sz w:val="28"/>
          <w:szCs w:val="28"/>
        </w:rPr>
        <w:t>ламотриджином</w:t>
      </w:r>
      <w:proofErr w:type="spellEnd"/>
    </w:p>
    <w:p w14:paraId="11A8DE32" w14:textId="77777777" w:rsidR="008C03B5" w:rsidRPr="008C03B5" w:rsidRDefault="008C03B5" w:rsidP="0073361A">
      <w:pPr>
        <w:pStyle w:val="ac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 xml:space="preserve">одновременный прием </w:t>
      </w:r>
      <w:proofErr w:type="spellStart"/>
      <w:r w:rsidRPr="008C03B5">
        <w:rPr>
          <w:rFonts w:ascii="Times New Roman" w:hAnsi="Times New Roman"/>
          <w:sz w:val="28"/>
          <w:szCs w:val="28"/>
        </w:rPr>
        <w:t>вальпроата</w:t>
      </w:r>
      <w:proofErr w:type="spellEnd"/>
      <w:r w:rsidRPr="008C03B5">
        <w:rPr>
          <w:rFonts w:ascii="Times New Roman" w:hAnsi="Times New Roman"/>
          <w:sz w:val="28"/>
          <w:szCs w:val="28"/>
          <w:lang w:val="en-US"/>
        </w:rPr>
        <w:t>.</w:t>
      </w:r>
    </w:p>
    <w:p w14:paraId="1660DEFC" w14:textId="77777777" w:rsidR="008C03B5" w:rsidRPr="008C03B5" w:rsidRDefault="008C03B5" w:rsidP="007336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>Также получены сообщения о сыпи, развивающейся в рамках синдрома гиперчувствительности вместе с различными системными симптомами.</w:t>
      </w:r>
    </w:p>
    <w:p w14:paraId="1D573394" w14:textId="77777777" w:rsidR="008C03B5" w:rsidRPr="008C03B5" w:rsidRDefault="008C03B5" w:rsidP="007336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C03B5">
        <w:rPr>
          <w:rFonts w:ascii="Times New Roman" w:hAnsi="Times New Roman"/>
          <w:sz w:val="28"/>
          <w:szCs w:val="28"/>
        </w:rPr>
        <w:t xml:space="preserve">Сообщалось о снижении минеральной плотности костной ткани, </w:t>
      </w:r>
      <w:proofErr w:type="spellStart"/>
      <w:r w:rsidRPr="008C03B5">
        <w:rPr>
          <w:rFonts w:ascii="Times New Roman" w:hAnsi="Times New Roman"/>
          <w:sz w:val="28"/>
          <w:szCs w:val="28"/>
        </w:rPr>
        <w:t>остеопении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, остеопорозе и переломах у пациентов с длительной терапией </w:t>
      </w:r>
      <w:proofErr w:type="spellStart"/>
      <w:r w:rsidRPr="008C03B5">
        <w:rPr>
          <w:rFonts w:ascii="Times New Roman" w:hAnsi="Times New Roman"/>
          <w:sz w:val="28"/>
          <w:szCs w:val="28"/>
        </w:rPr>
        <w:t>ламотриджином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. Механизм, посредством которого </w:t>
      </w:r>
      <w:proofErr w:type="spellStart"/>
      <w:r w:rsidRPr="008C03B5">
        <w:rPr>
          <w:rFonts w:ascii="Times New Roman" w:hAnsi="Times New Roman"/>
          <w:sz w:val="28"/>
          <w:szCs w:val="28"/>
        </w:rPr>
        <w:t>ламотриджин</w:t>
      </w:r>
      <w:proofErr w:type="spellEnd"/>
      <w:r w:rsidRPr="008C03B5">
        <w:rPr>
          <w:rFonts w:ascii="Times New Roman" w:hAnsi="Times New Roman"/>
          <w:sz w:val="28"/>
          <w:szCs w:val="28"/>
        </w:rPr>
        <w:t xml:space="preserve"> влияет на костный метаболизм, не определен.</w:t>
      </w:r>
    </w:p>
    <w:bookmarkEnd w:id="12"/>
    <w:p w14:paraId="68745120" w14:textId="77777777" w:rsidR="00B50587" w:rsidRDefault="00B50587" w:rsidP="00B50587">
      <w:pPr>
        <w:pStyle w:val="ac"/>
        <w:rPr>
          <w:rFonts w:ascii="Times New Roman" w:hAnsi="Times New Roman"/>
          <w:b/>
          <w:i/>
          <w:iCs/>
          <w:sz w:val="28"/>
          <w:szCs w:val="28"/>
        </w:rPr>
      </w:pPr>
    </w:p>
    <w:p w14:paraId="515933F5" w14:textId="77777777" w:rsidR="00FE637A" w:rsidRDefault="00FE637A" w:rsidP="00FE637A">
      <w:pPr>
        <w:pStyle w:val="ac"/>
        <w:jc w:val="both"/>
        <w:rPr>
          <w:rFonts w:ascii="Times New Roman" w:hAnsi="Times New Roman"/>
          <w:b/>
          <w:color w:val="000000"/>
          <w:sz w:val="28"/>
        </w:rPr>
      </w:pPr>
      <w:r w:rsidRPr="00844CE8">
        <w:rPr>
          <w:rFonts w:ascii="Times New Roman" w:hAnsi="Times New Roman"/>
          <w:b/>
          <w:color w:val="000000"/>
          <w:sz w:val="28"/>
        </w:rPr>
        <w:lastRenderedPageBreak/>
        <w:t xml:space="preserve">При возникновении </w:t>
      </w:r>
      <w:r>
        <w:rPr>
          <w:rFonts w:ascii="Times New Roman" w:hAnsi="Times New Roman"/>
          <w:b/>
          <w:color w:val="000000"/>
          <w:sz w:val="28"/>
        </w:rPr>
        <w:t>нежелательных</w:t>
      </w:r>
      <w:r w:rsidRPr="00844CE8">
        <w:rPr>
          <w:rFonts w:ascii="Times New Roman" w:hAnsi="Times New Roman"/>
          <w:b/>
          <w:color w:val="000000"/>
          <w:sz w:val="28"/>
        </w:rPr>
        <w:t xml:space="preserve">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</w:t>
      </w:r>
    </w:p>
    <w:p w14:paraId="662B1717" w14:textId="2372C2B8" w:rsidR="00FE637A" w:rsidRPr="00380974" w:rsidRDefault="00FE637A" w:rsidP="00FE63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974">
        <w:rPr>
          <w:rFonts w:ascii="Times New Roman" w:hAnsi="Times New Roman"/>
          <w:sz w:val="28"/>
          <w:szCs w:val="28"/>
        </w:rPr>
        <w:t xml:space="preserve">РГП на ПХВ «Национальный Центр экспертизы лекарственных средств и медицинских изделий» Комитета </w:t>
      </w:r>
      <w:r w:rsidR="00774A31">
        <w:rPr>
          <w:rFonts w:ascii="Times New Roman" w:hAnsi="Times New Roman"/>
          <w:sz w:val="28"/>
          <w:szCs w:val="28"/>
        </w:rPr>
        <w:t xml:space="preserve">медицинского и фармацевтического </w:t>
      </w:r>
      <w:r w:rsidRPr="00380974">
        <w:rPr>
          <w:rFonts w:ascii="Times New Roman" w:hAnsi="Times New Roman"/>
          <w:sz w:val="28"/>
          <w:szCs w:val="28"/>
        </w:rPr>
        <w:t>контроля Министерства здравоохранения Республики Казахстан</w:t>
      </w:r>
    </w:p>
    <w:p w14:paraId="1E21CC70" w14:textId="77777777" w:rsidR="00FE637A" w:rsidRPr="00380974" w:rsidRDefault="002412A0" w:rsidP="00FE637A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FE637A" w:rsidRPr="00380974">
          <w:rPr>
            <w:rStyle w:val="af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FE637A" w:rsidRPr="00380974">
          <w:rPr>
            <w:rStyle w:val="af"/>
            <w:rFonts w:ascii="Times New Roman" w:hAnsi="Times New Roman"/>
            <w:color w:val="auto"/>
            <w:sz w:val="28"/>
            <w:szCs w:val="28"/>
          </w:rPr>
          <w:t>://</w:t>
        </w:r>
        <w:r w:rsidR="00FE637A" w:rsidRPr="00380974">
          <w:rPr>
            <w:rStyle w:val="af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FE637A" w:rsidRPr="00380974">
          <w:rPr>
            <w:rStyle w:val="af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FE637A" w:rsidRPr="00380974">
          <w:rPr>
            <w:rStyle w:val="af"/>
            <w:rFonts w:ascii="Times New Roman" w:hAnsi="Times New Roman"/>
            <w:color w:val="auto"/>
            <w:sz w:val="28"/>
            <w:szCs w:val="28"/>
            <w:lang w:val="en-US"/>
          </w:rPr>
          <w:t>ndda</w:t>
        </w:r>
        <w:proofErr w:type="spellEnd"/>
        <w:r w:rsidR="00FE637A" w:rsidRPr="00380974">
          <w:rPr>
            <w:rStyle w:val="af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FE637A" w:rsidRPr="00380974">
          <w:rPr>
            <w:rStyle w:val="af"/>
            <w:rFonts w:ascii="Times New Roman" w:hAnsi="Times New Roman"/>
            <w:color w:val="auto"/>
            <w:sz w:val="28"/>
            <w:szCs w:val="28"/>
            <w:lang w:val="en-US"/>
          </w:rPr>
          <w:t>kz</w:t>
        </w:r>
        <w:proofErr w:type="spellEnd"/>
      </w:hyperlink>
    </w:p>
    <w:p w14:paraId="11AC9A90" w14:textId="77777777" w:rsidR="00D93C80" w:rsidRPr="009C18D6" w:rsidRDefault="00D93C80" w:rsidP="0095249D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13"/>
    <w:p w14:paraId="25B250CB" w14:textId="77777777" w:rsidR="000C2C4B" w:rsidRPr="009C18D6" w:rsidRDefault="000C2C4B" w:rsidP="0095249D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Дополнительные сведения</w:t>
      </w:r>
    </w:p>
    <w:p w14:paraId="44D2445A" w14:textId="77777777" w:rsidR="006B7A90" w:rsidRPr="009C18D6" w:rsidRDefault="00844CE8" w:rsidP="0095249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15" w:name="2175220285"/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Состав лекарственного препарата</w:t>
      </w:r>
      <w:r w:rsidR="00C379C9"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14:paraId="51950AE9" w14:textId="77777777" w:rsidR="0028263A" w:rsidRPr="0028263A" w:rsidRDefault="0028263A" w:rsidP="0028263A">
      <w:pPr>
        <w:spacing w:after="0" w:line="240" w:lineRule="auto"/>
        <w:jc w:val="both"/>
        <w:rPr>
          <w:rFonts w:ascii="Times New Roman" w:hAnsi="Times New Roman"/>
          <w:iCs/>
          <w:spacing w:val="-2"/>
          <w:sz w:val="28"/>
          <w:szCs w:val="28"/>
        </w:rPr>
      </w:pPr>
      <w:bookmarkStart w:id="16" w:name="2175220286"/>
      <w:bookmarkEnd w:id="15"/>
      <w:r w:rsidRPr="0028263A">
        <w:rPr>
          <w:rFonts w:ascii="Times New Roman" w:hAnsi="Times New Roman"/>
          <w:iCs/>
          <w:spacing w:val="-2"/>
          <w:sz w:val="28"/>
          <w:szCs w:val="28"/>
        </w:rPr>
        <w:t>Одна таблетка содержит</w:t>
      </w:r>
    </w:p>
    <w:p w14:paraId="7E0113CF" w14:textId="77777777" w:rsidR="005A65B3" w:rsidRPr="005A65B3" w:rsidRDefault="005A65B3" w:rsidP="005A65B3">
      <w:pPr>
        <w:spacing w:after="0" w:line="240" w:lineRule="auto"/>
        <w:jc w:val="both"/>
        <w:rPr>
          <w:rFonts w:ascii="Times New Roman" w:hAnsi="Times New Roman"/>
          <w:iCs/>
          <w:spacing w:val="-2"/>
          <w:sz w:val="28"/>
          <w:szCs w:val="28"/>
        </w:rPr>
      </w:pPr>
      <w:r w:rsidRPr="005A65B3">
        <w:rPr>
          <w:rFonts w:ascii="Times New Roman" w:hAnsi="Times New Roman"/>
          <w:i/>
          <w:iCs/>
          <w:spacing w:val="-2"/>
          <w:sz w:val="28"/>
          <w:szCs w:val="28"/>
        </w:rPr>
        <w:t>активное</w:t>
      </w:r>
      <w:r w:rsidRPr="005A65B3">
        <w:rPr>
          <w:rFonts w:ascii="Times New Roman" w:hAnsi="Times New Roman"/>
          <w:b/>
          <w:iCs/>
          <w:spacing w:val="-2"/>
          <w:sz w:val="28"/>
          <w:szCs w:val="28"/>
        </w:rPr>
        <w:t xml:space="preserve"> </w:t>
      </w:r>
      <w:r w:rsidRPr="005A65B3">
        <w:rPr>
          <w:rFonts w:ascii="Times New Roman" w:hAnsi="Times New Roman"/>
          <w:i/>
          <w:iCs/>
          <w:spacing w:val="-2"/>
          <w:sz w:val="28"/>
          <w:szCs w:val="28"/>
        </w:rPr>
        <w:t>вещество -</w:t>
      </w:r>
      <w:r w:rsidRPr="005A65B3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bookmarkStart w:id="17" w:name="_Hlk69374689"/>
      <w:proofErr w:type="spellStart"/>
      <w:r w:rsidRPr="005A65B3">
        <w:rPr>
          <w:rFonts w:ascii="Times New Roman" w:hAnsi="Times New Roman"/>
          <w:iCs/>
          <w:spacing w:val="-2"/>
          <w:sz w:val="28"/>
          <w:szCs w:val="28"/>
        </w:rPr>
        <w:t>ламотриджин</w:t>
      </w:r>
      <w:proofErr w:type="spellEnd"/>
      <w:r w:rsidRPr="005A65B3">
        <w:rPr>
          <w:rFonts w:ascii="Times New Roman" w:hAnsi="Times New Roman"/>
          <w:iCs/>
          <w:spacing w:val="-2"/>
          <w:sz w:val="28"/>
          <w:szCs w:val="28"/>
        </w:rPr>
        <w:t xml:space="preserve"> 25.00 мг, 50.00 мг, 100.00 мг</w:t>
      </w:r>
      <w:bookmarkEnd w:id="17"/>
      <w:r w:rsidRPr="005A65B3">
        <w:rPr>
          <w:rFonts w:ascii="Times New Roman" w:hAnsi="Times New Roman"/>
          <w:iCs/>
          <w:spacing w:val="-2"/>
          <w:sz w:val="28"/>
          <w:szCs w:val="28"/>
        </w:rPr>
        <w:t>,</w:t>
      </w:r>
    </w:p>
    <w:p w14:paraId="0A61EAFB" w14:textId="590D5D15" w:rsidR="005A65B3" w:rsidRPr="005A65B3" w:rsidRDefault="005A65B3" w:rsidP="005A65B3">
      <w:pPr>
        <w:spacing w:after="0" w:line="240" w:lineRule="auto"/>
        <w:jc w:val="both"/>
        <w:rPr>
          <w:rFonts w:ascii="Times New Roman" w:hAnsi="Times New Roman"/>
          <w:iCs/>
          <w:spacing w:val="-2"/>
          <w:sz w:val="28"/>
          <w:szCs w:val="28"/>
        </w:rPr>
      </w:pPr>
      <w:r w:rsidRPr="005A65B3">
        <w:rPr>
          <w:rFonts w:ascii="Times New Roman" w:hAnsi="Times New Roman"/>
          <w:i/>
          <w:iCs/>
          <w:spacing w:val="-2"/>
          <w:sz w:val="28"/>
          <w:szCs w:val="28"/>
        </w:rPr>
        <w:t xml:space="preserve">вспомогательные вещества: </w:t>
      </w:r>
      <w:bookmarkStart w:id="18" w:name="_Hlk69374716"/>
      <w:bookmarkStart w:id="19" w:name="_Hlk69392384"/>
      <w:r w:rsidRPr="005A65B3">
        <w:rPr>
          <w:rFonts w:ascii="Times New Roman" w:hAnsi="Times New Roman"/>
          <w:iCs/>
          <w:spacing w:val="-2"/>
          <w:sz w:val="28"/>
          <w:szCs w:val="28"/>
        </w:rPr>
        <w:t>лактозы моногидрат</w:t>
      </w:r>
      <w:bookmarkEnd w:id="18"/>
      <w:r w:rsidRPr="005A65B3">
        <w:rPr>
          <w:rFonts w:ascii="Times New Roman" w:hAnsi="Times New Roman"/>
          <w:iCs/>
          <w:spacing w:val="-2"/>
          <w:sz w:val="28"/>
          <w:szCs w:val="28"/>
        </w:rPr>
        <w:t>, целлюлоза микрокристаллическая (</w:t>
      </w:r>
      <w:r w:rsidRPr="005A65B3">
        <w:rPr>
          <w:rFonts w:ascii="Times New Roman" w:hAnsi="Times New Roman"/>
          <w:iCs/>
          <w:spacing w:val="-2"/>
          <w:sz w:val="28"/>
          <w:szCs w:val="28"/>
          <w:lang w:val="en-US"/>
        </w:rPr>
        <w:t>PH</w:t>
      </w:r>
      <w:r w:rsidRPr="005A65B3">
        <w:rPr>
          <w:rFonts w:ascii="Times New Roman" w:hAnsi="Times New Roman"/>
          <w:iCs/>
          <w:spacing w:val="-2"/>
          <w:sz w:val="28"/>
          <w:szCs w:val="28"/>
        </w:rPr>
        <w:t xml:space="preserve"> 101), </w:t>
      </w:r>
      <w:r w:rsidRPr="005A65B3">
        <w:rPr>
          <w:rFonts w:ascii="Times New Roman" w:hAnsi="Times New Roman"/>
          <w:iCs/>
          <w:spacing w:val="-2"/>
          <w:sz w:val="28"/>
          <w:szCs w:val="28"/>
          <w:lang w:val="kk-KZ"/>
        </w:rPr>
        <w:t>натрия крахмала гликолят</w:t>
      </w:r>
      <w:r w:rsidRPr="005A65B3">
        <w:rPr>
          <w:rFonts w:ascii="Times New Roman" w:hAnsi="Times New Roman"/>
          <w:iCs/>
          <w:spacing w:val="-2"/>
          <w:sz w:val="28"/>
          <w:szCs w:val="28"/>
        </w:rPr>
        <w:t xml:space="preserve">, </w:t>
      </w:r>
      <w:proofErr w:type="spellStart"/>
      <w:r w:rsidRPr="005A65B3">
        <w:rPr>
          <w:rFonts w:ascii="Times New Roman" w:hAnsi="Times New Roman"/>
          <w:iCs/>
          <w:spacing w:val="-2"/>
          <w:sz w:val="28"/>
          <w:szCs w:val="28"/>
        </w:rPr>
        <w:t>повидон</w:t>
      </w:r>
      <w:proofErr w:type="spellEnd"/>
      <w:r w:rsidRPr="005A65B3">
        <w:rPr>
          <w:rFonts w:ascii="Times New Roman" w:hAnsi="Times New Roman"/>
          <w:iCs/>
          <w:spacing w:val="-2"/>
          <w:sz w:val="28"/>
          <w:szCs w:val="28"/>
        </w:rPr>
        <w:t xml:space="preserve"> (</w:t>
      </w:r>
      <w:r w:rsidRPr="005A65B3">
        <w:rPr>
          <w:rFonts w:ascii="Times New Roman" w:hAnsi="Times New Roman"/>
          <w:iCs/>
          <w:spacing w:val="-2"/>
          <w:sz w:val="28"/>
          <w:szCs w:val="28"/>
          <w:lang w:val="en-US"/>
        </w:rPr>
        <w:t>PVP</w:t>
      </w:r>
      <w:r w:rsidRPr="005A65B3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r w:rsidRPr="005A65B3">
        <w:rPr>
          <w:rFonts w:ascii="Times New Roman" w:hAnsi="Times New Roman"/>
          <w:iCs/>
          <w:spacing w:val="-2"/>
          <w:sz w:val="28"/>
          <w:szCs w:val="28"/>
          <w:lang w:val="en-US"/>
        </w:rPr>
        <w:t>K</w:t>
      </w:r>
      <w:r w:rsidRPr="005A65B3">
        <w:rPr>
          <w:rFonts w:ascii="Times New Roman" w:hAnsi="Times New Roman"/>
          <w:iCs/>
          <w:spacing w:val="-2"/>
          <w:sz w:val="28"/>
          <w:szCs w:val="28"/>
        </w:rPr>
        <w:t xml:space="preserve"> 30), </w:t>
      </w:r>
      <w:r w:rsidRPr="005A65B3">
        <w:rPr>
          <w:rFonts w:ascii="Times New Roman" w:hAnsi="Times New Roman"/>
          <w:iCs/>
          <w:spacing w:val="-2"/>
          <w:sz w:val="28"/>
          <w:szCs w:val="28"/>
          <w:lang w:val="kk-KZ"/>
        </w:rPr>
        <w:t>вода очищенная, целлюза микрокристаллическая (</w:t>
      </w:r>
      <w:r w:rsidRPr="005A65B3">
        <w:rPr>
          <w:rFonts w:ascii="Times New Roman" w:hAnsi="Times New Roman"/>
          <w:iCs/>
          <w:spacing w:val="-2"/>
          <w:sz w:val="28"/>
          <w:szCs w:val="28"/>
          <w:lang w:val="en-US"/>
        </w:rPr>
        <w:t>PH</w:t>
      </w:r>
      <w:r w:rsidRPr="005A65B3">
        <w:rPr>
          <w:rFonts w:ascii="Times New Roman" w:hAnsi="Times New Roman"/>
          <w:iCs/>
          <w:spacing w:val="-2"/>
          <w:sz w:val="28"/>
          <w:szCs w:val="28"/>
        </w:rPr>
        <w:t xml:space="preserve"> 102</w:t>
      </w:r>
      <w:r w:rsidRPr="005A65B3">
        <w:rPr>
          <w:rFonts w:ascii="Times New Roman" w:hAnsi="Times New Roman"/>
          <w:iCs/>
          <w:spacing w:val="-2"/>
          <w:sz w:val="28"/>
          <w:szCs w:val="28"/>
          <w:lang w:val="kk-KZ"/>
        </w:rPr>
        <w:t>)</w:t>
      </w:r>
      <w:r w:rsidRPr="005A65B3">
        <w:rPr>
          <w:rFonts w:ascii="Times New Roman" w:hAnsi="Times New Roman"/>
          <w:iCs/>
          <w:spacing w:val="-2"/>
          <w:sz w:val="28"/>
          <w:szCs w:val="28"/>
        </w:rPr>
        <w:t xml:space="preserve">, магния </w:t>
      </w:r>
      <w:proofErr w:type="spellStart"/>
      <w:r w:rsidRPr="005A65B3">
        <w:rPr>
          <w:rFonts w:ascii="Times New Roman" w:hAnsi="Times New Roman"/>
          <w:iCs/>
          <w:spacing w:val="-2"/>
          <w:sz w:val="28"/>
          <w:szCs w:val="28"/>
        </w:rPr>
        <w:t>стеарат</w:t>
      </w:r>
      <w:proofErr w:type="spellEnd"/>
      <w:r>
        <w:rPr>
          <w:rFonts w:ascii="Times New Roman" w:hAnsi="Times New Roman"/>
          <w:iCs/>
          <w:spacing w:val="-2"/>
          <w:sz w:val="28"/>
          <w:szCs w:val="28"/>
        </w:rPr>
        <w:t>.</w:t>
      </w:r>
    </w:p>
    <w:bookmarkEnd w:id="19"/>
    <w:p w14:paraId="0AF78FA8" w14:textId="77777777" w:rsidR="005A65B3" w:rsidRDefault="005A65B3" w:rsidP="0095249D">
      <w:pPr>
        <w:spacing w:after="0" w:line="240" w:lineRule="auto"/>
        <w:jc w:val="both"/>
        <w:rPr>
          <w:rFonts w:ascii="Times New Roman" w:hAnsi="Times New Roman"/>
          <w:iCs/>
          <w:spacing w:val="-2"/>
          <w:sz w:val="28"/>
          <w:szCs w:val="28"/>
        </w:rPr>
      </w:pPr>
    </w:p>
    <w:p w14:paraId="3638B243" w14:textId="77777777" w:rsidR="006B7A90" w:rsidRPr="009C18D6" w:rsidRDefault="006B7A90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20" w:name="_Hlk14776878"/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Описание внешнего вида, запаха, вкуса</w:t>
      </w:r>
    </w:p>
    <w:p w14:paraId="401D650F" w14:textId="702A0C38" w:rsidR="00546B87" w:rsidRDefault="005A65B3" w:rsidP="009524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1" w:name="_Hlk69374756"/>
      <w:bookmarkStart w:id="22" w:name="2175220287"/>
      <w:bookmarkEnd w:id="16"/>
      <w:r w:rsidRPr="005A65B3">
        <w:rPr>
          <w:rFonts w:ascii="Times New Roman" w:eastAsia="Times New Roman" w:hAnsi="Times New Roman"/>
          <w:sz w:val="28"/>
          <w:szCs w:val="28"/>
          <w:lang w:eastAsia="ru-RU"/>
        </w:rPr>
        <w:t>Таблетки от белого до беловатого цвета, круглой формы, плоские, со скошенными краями, с тиснением «</w:t>
      </w:r>
      <w:r w:rsidRPr="005A65B3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8D9135" wp14:editId="2A085DB8">
            <wp:extent cx="180975" cy="133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5B3">
        <w:rPr>
          <w:rFonts w:ascii="Times New Roman" w:eastAsia="Times New Roman" w:hAnsi="Times New Roman"/>
          <w:sz w:val="28"/>
          <w:szCs w:val="28"/>
          <w:lang w:eastAsia="ru-RU"/>
        </w:rPr>
        <w:t>» с одной стороны и гладкие с другой стороны.</w:t>
      </w:r>
      <w:bookmarkEnd w:id="21"/>
      <w:r w:rsidRPr="005A65B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1823AA72" w14:textId="77777777" w:rsidR="005A65B3" w:rsidRDefault="005A65B3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2BACABD" w14:textId="77777777" w:rsidR="00C9308C" w:rsidRPr="005E67ED" w:rsidRDefault="00C9308C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Форма  выпуска  и упаковка</w:t>
      </w:r>
    </w:p>
    <w:p w14:paraId="5F841200" w14:textId="77777777" w:rsidR="00365840" w:rsidRPr="00365840" w:rsidRDefault="00365840" w:rsidP="0073361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5840">
        <w:rPr>
          <w:rFonts w:ascii="Times New Roman" w:hAnsi="Times New Roman"/>
          <w:sz w:val="28"/>
          <w:szCs w:val="28"/>
        </w:rPr>
        <w:t xml:space="preserve">По 10 таблеток в контурной ячейковой упаковке из ПВХ/ПВДХ и фольги алюминиевой. </w:t>
      </w:r>
    </w:p>
    <w:p w14:paraId="68B362DD" w14:textId="77777777" w:rsidR="00365840" w:rsidRPr="00365840" w:rsidRDefault="00365840" w:rsidP="00365840">
      <w:pPr>
        <w:jc w:val="both"/>
        <w:rPr>
          <w:rFonts w:ascii="Times New Roman" w:hAnsi="Times New Roman"/>
          <w:sz w:val="28"/>
          <w:szCs w:val="28"/>
        </w:rPr>
      </w:pPr>
      <w:r w:rsidRPr="00365840">
        <w:rPr>
          <w:rFonts w:ascii="Times New Roman" w:hAnsi="Times New Roman"/>
          <w:sz w:val="28"/>
          <w:szCs w:val="28"/>
        </w:rPr>
        <w:t>По 3, 6 или 10 контурной ячейковой упаковке вместе с инструкцией по медицинскому применению на казахском и русском языках помещают в пачку из картона.</w:t>
      </w:r>
    </w:p>
    <w:p w14:paraId="58A4E043" w14:textId="77777777" w:rsidR="0028263A" w:rsidRDefault="0028263A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83C4753" w14:textId="77777777" w:rsidR="00844CE8" w:rsidRPr="009C18D6" w:rsidRDefault="00844CE8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0E01AB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рок </w:t>
      </w:r>
      <w:r w:rsidR="006C6558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хранения</w:t>
      </w:r>
      <w:r w:rsidR="000E01AB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4B8924F3" w14:textId="04438395" w:rsidR="003C11FA" w:rsidRPr="003C11FA" w:rsidRDefault="00446782" w:rsidP="009524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584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C11FA" w:rsidRPr="003C11F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5E67E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75B6A66" w14:textId="77777777" w:rsidR="000E01AB" w:rsidRPr="009C18D6" w:rsidRDefault="00D14D61" w:rsidP="009524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0E01AB" w:rsidRPr="009C18D6">
        <w:rPr>
          <w:rFonts w:ascii="Times New Roman" w:eastAsia="Times New Roman" w:hAnsi="Times New Roman"/>
          <w:sz w:val="28"/>
          <w:szCs w:val="28"/>
          <w:lang w:eastAsia="ru-RU"/>
        </w:rPr>
        <w:t>примен</w:t>
      </w:r>
      <w:r w:rsidRPr="009C18D6">
        <w:rPr>
          <w:rFonts w:ascii="Times New Roman" w:eastAsia="Times New Roman" w:hAnsi="Times New Roman"/>
          <w:sz w:val="28"/>
          <w:szCs w:val="28"/>
          <w:lang w:eastAsia="ru-RU"/>
        </w:rPr>
        <w:t xml:space="preserve">ять </w:t>
      </w:r>
      <w:r w:rsidR="000E01AB" w:rsidRPr="009C18D6">
        <w:rPr>
          <w:rFonts w:ascii="Times New Roman" w:eastAsia="Times New Roman" w:hAnsi="Times New Roman"/>
          <w:sz w:val="28"/>
          <w:szCs w:val="28"/>
          <w:lang w:eastAsia="ru-RU"/>
        </w:rPr>
        <w:t>по истечении срока годности</w:t>
      </w:r>
      <w:r w:rsidR="003C7A1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90DA904" w14:textId="77777777" w:rsidR="003C11FA" w:rsidRPr="009C18D6" w:rsidRDefault="003C11FA" w:rsidP="0095249D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bookmarkStart w:id="23" w:name="2175220288"/>
      <w:bookmarkEnd w:id="22"/>
    </w:p>
    <w:p w14:paraId="5C19CFC0" w14:textId="77777777" w:rsidR="000E01AB" w:rsidRPr="009C18D6" w:rsidRDefault="00D14D61" w:rsidP="0095249D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Условия хранения</w:t>
      </w:r>
    </w:p>
    <w:p w14:paraId="1382A37D" w14:textId="77777777" w:rsidR="0047085B" w:rsidRPr="000A7A9A" w:rsidRDefault="0047085B" w:rsidP="005A65B3">
      <w:pPr>
        <w:pStyle w:val="ac"/>
        <w:rPr>
          <w:rFonts w:ascii="Times New Roman" w:eastAsia="Times New Roman" w:hAnsi="Times New Roman"/>
          <w:sz w:val="28"/>
          <w:szCs w:val="28"/>
          <w:lang w:val="kk-KZ" w:eastAsia="ru-RU"/>
        </w:rPr>
      </w:pPr>
      <w:bookmarkStart w:id="24" w:name="_Hlk69393490"/>
      <w:bookmarkEnd w:id="20"/>
      <w:bookmarkEnd w:id="23"/>
      <w:r w:rsidRPr="000A7A9A">
        <w:rPr>
          <w:rFonts w:ascii="Times New Roman" w:eastAsia="Times New Roman" w:hAnsi="Times New Roman"/>
          <w:sz w:val="28"/>
          <w:szCs w:val="28"/>
          <w:lang w:eastAsia="ru-RU"/>
        </w:rPr>
        <w:t>Хранить в оригинальной упаковке при температуре не выше 25ºС.   </w:t>
      </w:r>
    </w:p>
    <w:p w14:paraId="6461AA29" w14:textId="4314E42E" w:rsidR="005A65B3" w:rsidRPr="000A7A9A" w:rsidRDefault="005A65B3" w:rsidP="005A65B3">
      <w:pPr>
        <w:pStyle w:val="ac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A9A">
        <w:rPr>
          <w:rFonts w:ascii="Times New Roman" w:eastAsia="Times New Roman" w:hAnsi="Times New Roman"/>
          <w:sz w:val="28"/>
          <w:szCs w:val="28"/>
          <w:lang w:eastAsia="ru-RU"/>
        </w:rPr>
        <w:t xml:space="preserve">Хранить в недоступном для детей месте! </w:t>
      </w:r>
    </w:p>
    <w:bookmarkEnd w:id="24"/>
    <w:p w14:paraId="257E55F4" w14:textId="77777777" w:rsidR="006B7A90" w:rsidRPr="000A7A9A" w:rsidRDefault="006B7A90" w:rsidP="0095249D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B42902" w14:textId="77777777" w:rsidR="006C6558" w:rsidRPr="000A7A9A" w:rsidRDefault="006C6558" w:rsidP="0095249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25" w:name="_Hlk14777059"/>
      <w:r w:rsidRPr="000A7A9A">
        <w:rPr>
          <w:rFonts w:ascii="Times New Roman" w:hAnsi="Times New Roman"/>
          <w:b/>
          <w:color w:val="000000"/>
          <w:sz w:val="28"/>
          <w:szCs w:val="28"/>
        </w:rPr>
        <w:t xml:space="preserve">Условия отпуска из аптек </w:t>
      </w:r>
      <w:bookmarkEnd w:id="25"/>
    </w:p>
    <w:p w14:paraId="6C963AD8" w14:textId="77777777" w:rsidR="006C6558" w:rsidRPr="000A7A9A" w:rsidRDefault="003C11FA" w:rsidP="0095249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A7A9A">
        <w:rPr>
          <w:rFonts w:ascii="Times New Roman" w:eastAsia="Times New Roman" w:hAnsi="Times New Roman"/>
          <w:bCs/>
          <w:sz w:val="28"/>
          <w:szCs w:val="28"/>
          <w:lang w:eastAsia="ru-RU"/>
        </w:rPr>
        <w:t>По рецепту</w:t>
      </w:r>
    </w:p>
    <w:p w14:paraId="5A5C59E4" w14:textId="77777777" w:rsidR="003C11FA" w:rsidRPr="000A7A9A" w:rsidRDefault="003C11FA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3F16F8C" w14:textId="77777777" w:rsidR="006B7A90" w:rsidRPr="000A7A9A" w:rsidRDefault="007C1693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7A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Сведения о производителе </w:t>
      </w:r>
    </w:p>
    <w:p w14:paraId="00512109" w14:textId="77777777" w:rsidR="003C11FA" w:rsidRPr="000A7A9A" w:rsidRDefault="003C11FA" w:rsidP="0095249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0A7A9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>Кусум</w:t>
      </w:r>
      <w:proofErr w:type="spellEnd"/>
      <w:r w:rsidRPr="000A7A9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0A7A9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Хелткер</w:t>
      </w:r>
      <w:proofErr w:type="spellEnd"/>
      <w:r w:rsidRPr="000A7A9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0A7A9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Пвт</w:t>
      </w:r>
      <w:proofErr w:type="spellEnd"/>
      <w:r w:rsidRPr="000A7A9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Лтд.,</w:t>
      </w:r>
    </w:p>
    <w:p w14:paraId="436CFB36" w14:textId="77777777" w:rsidR="0028263A" w:rsidRPr="000A7A9A" w:rsidRDefault="0028263A" w:rsidP="0028263A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 w:rsidRPr="000A7A9A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СП 289 (А), РИИКО </w:t>
      </w:r>
      <w:proofErr w:type="spellStart"/>
      <w:r w:rsidRPr="000A7A9A">
        <w:rPr>
          <w:rFonts w:ascii="Times New Roman" w:eastAsia="Microsoft Sans Serif" w:hAnsi="Times New Roman"/>
          <w:sz w:val="28"/>
          <w:szCs w:val="28"/>
          <w:lang w:eastAsia="ru-RU" w:bidi="ru-RU"/>
        </w:rPr>
        <w:t>Индастриал</w:t>
      </w:r>
      <w:proofErr w:type="spellEnd"/>
      <w:r w:rsidRPr="000A7A9A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proofErr w:type="spellStart"/>
      <w:r w:rsidRPr="000A7A9A">
        <w:rPr>
          <w:rFonts w:ascii="Times New Roman" w:eastAsia="Microsoft Sans Serif" w:hAnsi="Times New Roman"/>
          <w:sz w:val="28"/>
          <w:szCs w:val="28"/>
          <w:lang w:eastAsia="ru-RU" w:bidi="ru-RU"/>
        </w:rPr>
        <w:t>ареа</w:t>
      </w:r>
      <w:proofErr w:type="spellEnd"/>
      <w:r w:rsidRPr="000A7A9A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, </w:t>
      </w:r>
      <w:proofErr w:type="spellStart"/>
      <w:r w:rsidRPr="000A7A9A">
        <w:rPr>
          <w:rFonts w:ascii="Times New Roman" w:eastAsia="Microsoft Sans Serif" w:hAnsi="Times New Roman"/>
          <w:sz w:val="28"/>
          <w:szCs w:val="28"/>
          <w:lang w:eastAsia="ru-RU" w:bidi="ru-RU"/>
        </w:rPr>
        <w:t>Чопанки</w:t>
      </w:r>
      <w:proofErr w:type="spellEnd"/>
      <w:r w:rsidRPr="000A7A9A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, </w:t>
      </w:r>
      <w:proofErr w:type="spellStart"/>
      <w:r w:rsidRPr="000A7A9A">
        <w:rPr>
          <w:rFonts w:ascii="Times New Roman" w:eastAsia="Microsoft Sans Serif" w:hAnsi="Times New Roman"/>
          <w:sz w:val="28"/>
          <w:szCs w:val="28"/>
          <w:lang w:eastAsia="ru-RU" w:bidi="ru-RU"/>
        </w:rPr>
        <w:t>Бхивади</w:t>
      </w:r>
      <w:proofErr w:type="spellEnd"/>
      <w:r w:rsidRPr="000A7A9A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(Радж.), Индия.</w:t>
      </w:r>
    </w:p>
    <w:p w14:paraId="46EE0F26" w14:textId="77777777" w:rsidR="003C11FA" w:rsidRPr="000A7A9A" w:rsidRDefault="003C11FA" w:rsidP="009524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0A7A9A">
        <w:rPr>
          <w:rFonts w:ascii="Times New Roman" w:hAnsi="Times New Roman"/>
          <w:bCs/>
          <w:iCs/>
          <w:color w:val="000000"/>
          <w:sz w:val="28"/>
          <w:szCs w:val="28"/>
        </w:rPr>
        <w:t>Телефон: +91-1493-516561</w:t>
      </w:r>
    </w:p>
    <w:p w14:paraId="35C80670" w14:textId="77777777" w:rsidR="003C11FA" w:rsidRPr="000A7A9A" w:rsidRDefault="003C11FA" w:rsidP="009524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0A7A9A">
        <w:rPr>
          <w:rFonts w:ascii="Times New Roman" w:hAnsi="Times New Roman"/>
          <w:bCs/>
          <w:iCs/>
          <w:color w:val="000000"/>
          <w:sz w:val="28"/>
          <w:szCs w:val="28"/>
        </w:rPr>
        <w:t>Факс: +91-1493-516562</w:t>
      </w:r>
    </w:p>
    <w:p w14:paraId="55ABC42A" w14:textId="77777777" w:rsidR="003C11FA" w:rsidRPr="000A7A9A" w:rsidRDefault="003C11FA" w:rsidP="009524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A7A9A">
        <w:rPr>
          <w:rFonts w:ascii="Times New Roman" w:eastAsia="Times New Roman" w:hAnsi="Times New Roman"/>
          <w:sz w:val="28"/>
          <w:szCs w:val="28"/>
          <w:lang w:eastAsia="ru-RU"/>
        </w:rPr>
        <w:t>Электронная почта:</w:t>
      </w:r>
      <w:r w:rsidRPr="000A7A9A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0A7A9A">
          <w:rPr>
            <w:rStyle w:val="af"/>
            <w:rFonts w:ascii="Times New Roman" w:hAnsi="Times New Roman"/>
            <w:bCs/>
            <w:sz w:val="28"/>
            <w:szCs w:val="28"/>
            <w:lang w:val="en-US"/>
          </w:rPr>
          <w:t>info</w:t>
        </w:r>
        <w:r w:rsidRPr="000A7A9A">
          <w:rPr>
            <w:rStyle w:val="af"/>
            <w:rFonts w:ascii="Times New Roman" w:hAnsi="Times New Roman"/>
            <w:bCs/>
            <w:sz w:val="28"/>
            <w:szCs w:val="28"/>
          </w:rPr>
          <w:t>@</w:t>
        </w:r>
        <w:proofErr w:type="spellStart"/>
        <w:r w:rsidRPr="000A7A9A">
          <w:rPr>
            <w:rStyle w:val="af"/>
            <w:rFonts w:ascii="Times New Roman" w:hAnsi="Times New Roman"/>
            <w:bCs/>
            <w:sz w:val="28"/>
            <w:szCs w:val="28"/>
            <w:lang w:val="en-US"/>
          </w:rPr>
          <w:t>kusum</w:t>
        </w:r>
        <w:proofErr w:type="spellEnd"/>
        <w:r w:rsidRPr="000A7A9A">
          <w:rPr>
            <w:rStyle w:val="af"/>
            <w:rFonts w:ascii="Times New Roman" w:hAnsi="Times New Roman"/>
            <w:bCs/>
            <w:sz w:val="28"/>
            <w:szCs w:val="28"/>
          </w:rPr>
          <w:t>.</w:t>
        </w:r>
        <w:r w:rsidRPr="000A7A9A">
          <w:rPr>
            <w:rStyle w:val="af"/>
            <w:rFonts w:ascii="Times New Roman" w:hAnsi="Times New Roman"/>
            <w:bCs/>
            <w:sz w:val="28"/>
            <w:szCs w:val="28"/>
            <w:lang w:val="en-US"/>
          </w:rPr>
          <w:t>com</w:t>
        </w:r>
      </w:hyperlink>
      <w:r w:rsidRPr="000A7A9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991520E" w14:textId="77777777" w:rsidR="003C11FA" w:rsidRPr="000A7A9A" w:rsidRDefault="003C11FA" w:rsidP="009524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705B1EA" w14:textId="77777777" w:rsidR="00D76048" w:rsidRPr="000A7A9A" w:rsidRDefault="005A3C81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7A9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Держатель</w:t>
      </w:r>
      <w:r w:rsidR="00D76048" w:rsidRPr="000A7A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регистрационного удостоверения</w:t>
      </w:r>
    </w:p>
    <w:p w14:paraId="7F7BB2CB" w14:textId="77777777" w:rsidR="00347FD5" w:rsidRPr="000A7A9A" w:rsidRDefault="00347FD5" w:rsidP="00347FD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proofErr w:type="spellStart"/>
      <w:r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>Кусум</w:t>
      </w:r>
      <w:proofErr w:type="spellEnd"/>
      <w:r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</w:t>
      </w:r>
      <w:proofErr w:type="spellStart"/>
      <w:r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>Хелткер</w:t>
      </w:r>
      <w:proofErr w:type="spellEnd"/>
      <w:r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</w:t>
      </w:r>
      <w:proofErr w:type="spellStart"/>
      <w:r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>Пвт</w:t>
      </w:r>
      <w:proofErr w:type="spellEnd"/>
      <w:r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. Лтд., </w:t>
      </w:r>
    </w:p>
    <w:p w14:paraId="47872575" w14:textId="0B92D536" w:rsidR="00347FD5" w:rsidRPr="000A7A9A" w:rsidRDefault="00127869" w:rsidP="00347FD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 w:rsidRPr="000A7A9A">
        <w:rPr>
          <w:rFonts w:ascii="Times New Roman" w:hAnsi="Times New Roman"/>
          <w:bCs/>
          <w:color w:val="000000"/>
          <w:sz w:val="28"/>
          <w:szCs w:val="28"/>
          <w:lang w:val="kk-KZ" w:bidi="ru-RU"/>
        </w:rPr>
        <w:t>Д</w:t>
      </w:r>
      <w:r w:rsidR="00347FD5"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-158A, </w:t>
      </w:r>
      <w:proofErr w:type="spellStart"/>
      <w:r w:rsidR="00347FD5"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>Окхла</w:t>
      </w:r>
      <w:proofErr w:type="spellEnd"/>
      <w:r w:rsidR="00347FD5"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</w:t>
      </w:r>
      <w:proofErr w:type="spellStart"/>
      <w:r w:rsidR="00347FD5"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>Индастриал</w:t>
      </w:r>
      <w:proofErr w:type="spellEnd"/>
      <w:r w:rsidR="00347FD5"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</w:t>
      </w:r>
      <w:proofErr w:type="spellStart"/>
      <w:r w:rsidR="00347FD5"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>Ареа</w:t>
      </w:r>
      <w:proofErr w:type="spellEnd"/>
      <w:r w:rsidR="00347FD5"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>, Фаза-I, Нью Дели 110020, Индия</w:t>
      </w:r>
    </w:p>
    <w:p w14:paraId="26B4E255" w14:textId="77777777" w:rsidR="00347FD5" w:rsidRPr="000A7A9A" w:rsidRDefault="00347FD5" w:rsidP="00347FD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>Тел: +91-11-41005147</w:t>
      </w:r>
    </w:p>
    <w:p w14:paraId="045B8EC8" w14:textId="77777777" w:rsidR="00347FD5" w:rsidRPr="000A7A9A" w:rsidRDefault="00347FD5" w:rsidP="00347FD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>факс: +91-11-40527575</w:t>
      </w:r>
    </w:p>
    <w:p w14:paraId="47812F1A" w14:textId="77777777" w:rsidR="00347FD5" w:rsidRPr="00347FD5" w:rsidRDefault="00347FD5" w:rsidP="00347FD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  <w:lang w:val="kk-KZ" w:bidi="ru-RU"/>
        </w:rPr>
      </w:pPr>
      <w:r w:rsidRPr="000A7A9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Адрес электронной почты: </w:t>
      </w:r>
      <w:hyperlink r:id="rId12" w:history="1">
        <w:r w:rsidRPr="000A7A9A">
          <w:rPr>
            <w:rStyle w:val="af"/>
            <w:rFonts w:ascii="Times New Roman" w:hAnsi="Times New Roman"/>
            <w:bCs/>
            <w:sz w:val="28"/>
            <w:szCs w:val="28"/>
            <w:lang w:bidi="ru-RU"/>
          </w:rPr>
          <w:t>info@kusum.com</w:t>
        </w:r>
      </w:hyperlink>
    </w:p>
    <w:p w14:paraId="6B19B4AF" w14:textId="77777777" w:rsidR="008C5667" w:rsidRDefault="008C5667" w:rsidP="009524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4358426" w14:textId="77777777" w:rsidR="00FE637A" w:rsidRPr="00870BA9" w:rsidRDefault="00FE637A" w:rsidP="00FE637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2FDF">
        <w:rPr>
          <w:rFonts w:ascii="Times New Roman" w:hAnsi="Times New Roman"/>
          <w:b/>
          <w:iCs/>
          <w:sz w:val="28"/>
          <w:szCs w:val="28"/>
          <w:lang w:val="kk-KZ"/>
        </w:rPr>
        <w:t xml:space="preserve">Наименование, адрес и контактные данные  (телефон,  факс,  электронная  почта) организации </w:t>
      </w:r>
      <w:r w:rsidRPr="00482FDF">
        <w:rPr>
          <w:rFonts w:ascii="Times New Roman" w:hAnsi="Times New Roman"/>
          <w:b/>
          <w:iCs/>
          <w:sz w:val="28"/>
          <w:szCs w:val="28"/>
        </w:rPr>
        <w:t xml:space="preserve">на территории Республики Казахстан, принимающей претензии (предложения)  по качеству лекарственных  средств  от потребителей и 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ответственной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за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пострегистрационное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наблюдение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за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безопасностью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лекарственного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средства</w:t>
      </w:r>
      <w:proofErr w:type="spellEnd"/>
    </w:p>
    <w:p w14:paraId="241B9945" w14:textId="77777777" w:rsidR="00C4106C" w:rsidRPr="00C4106C" w:rsidRDefault="00C4106C" w:rsidP="00C4106C">
      <w:pPr>
        <w:pStyle w:val="Style5"/>
        <w:rPr>
          <w:rFonts w:eastAsia="Microsoft Sans Serif"/>
          <w:sz w:val="28"/>
          <w:szCs w:val="28"/>
          <w:lang w:bidi="ru-RU"/>
        </w:rPr>
      </w:pPr>
      <w:r w:rsidRPr="00C4106C">
        <w:rPr>
          <w:rFonts w:eastAsia="Microsoft Sans Serif"/>
          <w:sz w:val="28"/>
          <w:szCs w:val="28"/>
          <w:lang w:bidi="ru-RU"/>
        </w:rPr>
        <w:t>ТОО «</w:t>
      </w:r>
      <w:proofErr w:type="spellStart"/>
      <w:r w:rsidRPr="00C4106C">
        <w:rPr>
          <w:rFonts w:eastAsia="Microsoft Sans Serif"/>
          <w:sz w:val="28"/>
          <w:szCs w:val="28"/>
          <w:lang w:bidi="ru-RU"/>
        </w:rPr>
        <w:t>Дәрі-Фарм</w:t>
      </w:r>
      <w:proofErr w:type="spellEnd"/>
      <w:r w:rsidRPr="00C4106C">
        <w:rPr>
          <w:rFonts w:eastAsia="Microsoft Sans Serif"/>
          <w:sz w:val="28"/>
          <w:szCs w:val="28"/>
          <w:lang w:bidi="ru-RU"/>
        </w:rPr>
        <w:t xml:space="preserve"> (Казахстан)», г. Алматы, </w:t>
      </w:r>
      <w:r w:rsidRPr="00C4106C">
        <w:rPr>
          <w:rFonts w:eastAsia="Microsoft Sans Serif"/>
          <w:sz w:val="28"/>
          <w:szCs w:val="28"/>
          <w:lang w:val="kk-KZ" w:bidi="ru-RU"/>
        </w:rPr>
        <w:t>улица Хаджи Мукана, 22/5</w:t>
      </w:r>
      <w:r w:rsidRPr="00C4106C">
        <w:rPr>
          <w:rFonts w:eastAsia="Microsoft Sans Serif"/>
          <w:sz w:val="28"/>
          <w:szCs w:val="28"/>
          <w:lang w:bidi="ru-RU"/>
        </w:rPr>
        <w:t>, БЦ «Хан-Тенгри», Казахстан</w:t>
      </w:r>
    </w:p>
    <w:p w14:paraId="51D3C262" w14:textId="77777777" w:rsidR="00FE637A" w:rsidRPr="00870BA9" w:rsidRDefault="00FE637A" w:rsidP="00FE637A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70BA9">
        <w:rPr>
          <w:rFonts w:eastAsia="Microsoft Sans Serif"/>
          <w:sz w:val="28"/>
          <w:szCs w:val="28"/>
          <w:lang w:bidi="ru-RU"/>
        </w:rPr>
        <w:t>Тел/факс: 8(727) 295-26-50 </w:t>
      </w:r>
    </w:p>
    <w:p w14:paraId="43D50D08" w14:textId="77777777" w:rsidR="00FE637A" w:rsidRPr="00870BA9" w:rsidRDefault="00FE637A" w:rsidP="00FE637A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70BA9">
        <w:rPr>
          <w:rFonts w:eastAsia="Microsoft Sans Serif"/>
          <w:sz w:val="28"/>
          <w:szCs w:val="28"/>
          <w:lang w:bidi="ru-RU"/>
        </w:rPr>
        <w:t xml:space="preserve">Адрес электронной почты: </w:t>
      </w:r>
      <w:hyperlink r:id="rId13" w:history="1">
        <w:r w:rsidRPr="00870BA9">
          <w:rPr>
            <w:rStyle w:val="af"/>
            <w:rFonts w:eastAsia="Microsoft Sans Serif"/>
            <w:sz w:val="28"/>
            <w:szCs w:val="28"/>
            <w:lang w:bidi="ru-RU"/>
          </w:rPr>
          <w:t>phv@kusum.kz</w:t>
        </w:r>
      </w:hyperlink>
    </w:p>
    <w:p w14:paraId="5F61C72B" w14:textId="77777777" w:rsidR="00844CE8" w:rsidRPr="00FE637A" w:rsidRDefault="00844CE8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sectPr w:rsidR="00844CE8" w:rsidRPr="00FE637A" w:rsidSect="009470C4">
      <w:headerReference w:type="default" r:id="rId14"/>
      <w:footerReference w:type="even" r:id="rId15"/>
      <w:footerReference w:type="first" r:id="rId1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0C2A4" w14:textId="77777777" w:rsidR="002412A0" w:rsidRDefault="002412A0" w:rsidP="00D275FC">
      <w:pPr>
        <w:spacing w:after="0" w:line="240" w:lineRule="auto"/>
      </w:pPr>
      <w:r>
        <w:separator/>
      </w:r>
    </w:p>
  </w:endnote>
  <w:endnote w:type="continuationSeparator" w:id="0">
    <w:p w14:paraId="17B47BEB" w14:textId="77777777" w:rsidR="002412A0" w:rsidRDefault="002412A0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24D3B" w14:textId="77777777" w:rsidR="00287913" w:rsidRDefault="00287913"/>
  <w:p w14:paraId="1F499D03" w14:textId="77777777" w:rsidR="00287913" w:rsidRDefault="00287913">
    <w:r>
      <w:rPr>
        <w:rFonts w:ascii="Times New Roman" w:eastAsia="Times New Roman" w:hAnsi="Times New Roman"/>
      </w:rPr>
      <w:t>Решение: N040790</w:t>
    </w:r>
    <w:r>
      <w:rPr>
        <w:rFonts w:ascii="Times New Roman" w:eastAsia="Times New Roman" w:hAnsi="Times New Roman"/>
      </w:rPr>
      <w:br/>
      <w:t>Дата решения: 14.07.2021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Байсеркин</w:t>
    </w:r>
    <w:proofErr w:type="spellEnd"/>
    <w:r>
      <w:rPr>
        <w:rFonts w:ascii="Times New Roman" w:eastAsia="Times New Roman" w:hAnsi="Times New Roman"/>
      </w:rPr>
      <w:t xml:space="preserve"> Б. С.</w:t>
    </w:r>
    <w:r>
      <w:rPr>
        <w:rFonts w:ascii="Times New Roman" w:eastAsia="Times New Roman" w:hAnsi="Times New Roman"/>
      </w:rPr>
      <w:br/>
      <w:t>(Комитет контроля качества и безопасности товаров и услуг)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BB52F" w14:textId="77777777" w:rsidR="00287913" w:rsidRDefault="00287913"/>
  <w:p w14:paraId="5792CB14" w14:textId="77777777" w:rsidR="00287913" w:rsidRDefault="00287913">
    <w:r>
      <w:rPr>
        <w:rFonts w:ascii="Times New Roman" w:eastAsia="Times New Roman" w:hAnsi="Times New Roman"/>
      </w:rPr>
      <w:t>Решение: N040790</w:t>
    </w:r>
    <w:r>
      <w:rPr>
        <w:rFonts w:ascii="Times New Roman" w:eastAsia="Times New Roman" w:hAnsi="Times New Roman"/>
      </w:rPr>
      <w:br/>
      <w:t>Дата решения: 14.07.2021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Байсеркин</w:t>
    </w:r>
    <w:proofErr w:type="spellEnd"/>
    <w:r>
      <w:rPr>
        <w:rFonts w:ascii="Times New Roman" w:eastAsia="Times New Roman" w:hAnsi="Times New Roman"/>
      </w:rPr>
      <w:t xml:space="preserve"> Б. С.</w:t>
    </w:r>
    <w:r>
      <w:rPr>
        <w:rFonts w:ascii="Times New Roman" w:eastAsia="Times New Roman" w:hAnsi="Times New Roman"/>
      </w:rPr>
      <w:br/>
      <w:t>(Комитет контроля качества и безопасности товаров и услуг)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A8608" w14:textId="77777777" w:rsidR="002412A0" w:rsidRDefault="002412A0" w:rsidP="00D275FC">
      <w:pPr>
        <w:spacing w:after="0" w:line="240" w:lineRule="auto"/>
      </w:pPr>
      <w:r>
        <w:separator/>
      </w:r>
    </w:p>
  </w:footnote>
  <w:footnote w:type="continuationSeparator" w:id="0">
    <w:p w14:paraId="1E4E2754" w14:textId="77777777" w:rsidR="002412A0" w:rsidRDefault="002412A0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D57D7" w14:textId="77777777" w:rsidR="00287913" w:rsidRDefault="00287913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820C7B" wp14:editId="4B25AAD1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16EF7C" w14:textId="77777777" w:rsidR="00287913" w:rsidRPr="00D275FC" w:rsidRDefault="00287913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94.4pt;margin-top:48.75pt;width:30pt;height:29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" filled="f" stroked="f" strokeweight=".5pt">
              <v:path arrowok="t"/>
              <v:textbox style="layout-flow:vertical;mso-layout-flow-alt:bottom-to-top">
                <w:txbxContent>
                  <w:p w14:paraId="7F16EF7C" w14:textId="77777777" w:rsidR="00287913" w:rsidRPr="00D275FC" w:rsidRDefault="00287913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36871F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1FB3465"/>
    <w:multiLevelType w:val="hybridMultilevel"/>
    <w:tmpl w:val="7E04DB18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2E7C80"/>
    <w:multiLevelType w:val="hybridMultilevel"/>
    <w:tmpl w:val="34DEAA1C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9B38CB"/>
    <w:multiLevelType w:val="hybridMultilevel"/>
    <w:tmpl w:val="22AA5880"/>
    <w:lvl w:ilvl="0" w:tplc="00000003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504464"/>
    <w:multiLevelType w:val="hybridMultilevel"/>
    <w:tmpl w:val="C1D0BE98"/>
    <w:lvl w:ilvl="0" w:tplc="FB6C0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994B09"/>
    <w:multiLevelType w:val="hybridMultilevel"/>
    <w:tmpl w:val="D9368C46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2C224D"/>
    <w:multiLevelType w:val="hybridMultilevel"/>
    <w:tmpl w:val="33D4B7F4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356740"/>
    <w:multiLevelType w:val="hybridMultilevel"/>
    <w:tmpl w:val="BF06DA38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616677"/>
    <w:multiLevelType w:val="hybridMultilevel"/>
    <w:tmpl w:val="77047504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416944"/>
    <w:multiLevelType w:val="hybridMultilevel"/>
    <w:tmpl w:val="0560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9C5F8D"/>
    <w:multiLevelType w:val="hybridMultilevel"/>
    <w:tmpl w:val="ED187B42"/>
    <w:lvl w:ilvl="0" w:tplc="3C8E8784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746FCC"/>
    <w:multiLevelType w:val="hybridMultilevel"/>
    <w:tmpl w:val="77F2E128"/>
    <w:lvl w:ilvl="0" w:tplc="37C4D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E600F5"/>
    <w:multiLevelType w:val="hybridMultilevel"/>
    <w:tmpl w:val="BEFC4898"/>
    <w:lvl w:ilvl="0" w:tplc="37C4DEFA">
      <w:start w:val="1"/>
      <w:numFmt w:val="bullet"/>
      <w:lvlText w:val=""/>
      <w:lvlJc w:val="left"/>
      <w:pPr>
        <w:ind w:left="1125" w:hanging="76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B97C18"/>
    <w:multiLevelType w:val="hybridMultilevel"/>
    <w:tmpl w:val="F38865BE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71395513"/>
    <w:multiLevelType w:val="hybridMultilevel"/>
    <w:tmpl w:val="EB2A4FC2"/>
    <w:lvl w:ilvl="0" w:tplc="E18AE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5"/>
  </w:num>
  <w:num w:numId="4">
    <w:abstractNumId w:val="32"/>
  </w:num>
  <w:num w:numId="5">
    <w:abstractNumId w:val="39"/>
  </w:num>
  <w:num w:numId="6">
    <w:abstractNumId w:val="9"/>
  </w:num>
  <w:num w:numId="7">
    <w:abstractNumId w:val="37"/>
  </w:num>
  <w:num w:numId="8">
    <w:abstractNumId w:val="16"/>
  </w:num>
  <w:num w:numId="9">
    <w:abstractNumId w:val="29"/>
  </w:num>
  <w:num w:numId="10">
    <w:abstractNumId w:val="17"/>
  </w:num>
  <w:num w:numId="11">
    <w:abstractNumId w:val="28"/>
  </w:num>
  <w:num w:numId="12">
    <w:abstractNumId w:val="31"/>
  </w:num>
  <w:num w:numId="13">
    <w:abstractNumId w:val="33"/>
  </w:num>
  <w:num w:numId="14">
    <w:abstractNumId w:val="22"/>
  </w:num>
  <w:num w:numId="15">
    <w:abstractNumId w:val="3"/>
  </w:num>
  <w:num w:numId="16">
    <w:abstractNumId w:val="38"/>
  </w:num>
  <w:num w:numId="17">
    <w:abstractNumId w:val="26"/>
  </w:num>
  <w:num w:numId="18">
    <w:abstractNumId w:val="24"/>
  </w:num>
  <w:num w:numId="19">
    <w:abstractNumId w:val="15"/>
  </w:num>
  <w:num w:numId="20">
    <w:abstractNumId w:val="4"/>
  </w:num>
  <w:num w:numId="21">
    <w:abstractNumId w:val="20"/>
  </w:num>
  <w:num w:numId="22">
    <w:abstractNumId w:val="8"/>
  </w:num>
  <w:num w:numId="23">
    <w:abstractNumId w:val="35"/>
  </w:num>
  <w:num w:numId="24">
    <w:abstractNumId w:val="21"/>
  </w:num>
  <w:num w:numId="25">
    <w:abstractNumId w:val="19"/>
  </w:num>
  <w:num w:numId="26">
    <w:abstractNumId w:val="13"/>
  </w:num>
  <w:num w:numId="27">
    <w:abstractNumId w:val="36"/>
  </w:num>
  <w:num w:numId="28">
    <w:abstractNumId w:val="18"/>
  </w:num>
  <w:num w:numId="29">
    <w:abstractNumId w:val="6"/>
  </w:num>
  <w:num w:numId="30">
    <w:abstractNumId w:val="34"/>
  </w:num>
  <w:num w:numId="31">
    <w:abstractNumId w:val="14"/>
  </w:num>
  <w:num w:numId="32">
    <w:abstractNumId w:val="12"/>
  </w:num>
  <w:num w:numId="33">
    <w:abstractNumId w:val="2"/>
  </w:num>
  <w:num w:numId="34">
    <w:abstractNumId w:val="23"/>
  </w:num>
  <w:num w:numId="35">
    <w:abstractNumId w:val="11"/>
  </w:num>
  <w:num w:numId="36">
    <w:abstractNumId w:val="10"/>
  </w:num>
  <w:num w:numId="37">
    <w:abstractNumId w:val="1"/>
  </w:num>
  <w:num w:numId="38">
    <w:abstractNumId w:val="25"/>
  </w:num>
  <w:num w:numId="39">
    <w:abstractNumId w:val="27"/>
  </w:num>
  <w:num w:numId="40">
    <w:abstractNumId w:val="0"/>
    <w:lvlOverride w:ilvl="0">
      <w:lvl w:ilvl="0">
        <w:numFmt w:val="bullet"/>
        <w:lvlText w:val="-"/>
        <w:lvlJc w:val="left"/>
        <w:pPr>
          <w:tabs>
            <w:tab w:val="num" w:pos="786"/>
          </w:tabs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48"/>
    <w:rsid w:val="00010371"/>
    <w:rsid w:val="00025E4A"/>
    <w:rsid w:val="000264BB"/>
    <w:rsid w:val="00033FC1"/>
    <w:rsid w:val="0004075B"/>
    <w:rsid w:val="00042999"/>
    <w:rsid w:val="000852A1"/>
    <w:rsid w:val="0009635F"/>
    <w:rsid w:val="000972E6"/>
    <w:rsid w:val="000A0D71"/>
    <w:rsid w:val="000A7A9A"/>
    <w:rsid w:val="000C2C4B"/>
    <w:rsid w:val="000C4C48"/>
    <w:rsid w:val="000C649E"/>
    <w:rsid w:val="000E01AB"/>
    <w:rsid w:val="000E49F0"/>
    <w:rsid w:val="000E6126"/>
    <w:rsid w:val="00100406"/>
    <w:rsid w:val="00107A8A"/>
    <w:rsid w:val="00111788"/>
    <w:rsid w:val="00111D2B"/>
    <w:rsid w:val="00127869"/>
    <w:rsid w:val="00132B9A"/>
    <w:rsid w:val="00132C89"/>
    <w:rsid w:val="001368AE"/>
    <w:rsid w:val="00144CCD"/>
    <w:rsid w:val="0014739A"/>
    <w:rsid w:val="0015490C"/>
    <w:rsid w:val="001573E2"/>
    <w:rsid w:val="0016278D"/>
    <w:rsid w:val="001755F3"/>
    <w:rsid w:val="00175E9C"/>
    <w:rsid w:val="001937AD"/>
    <w:rsid w:val="001A2CB2"/>
    <w:rsid w:val="001B6AEC"/>
    <w:rsid w:val="001E6F4C"/>
    <w:rsid w:val="001F16AA"/>
    <w:rsid w:val="001F229E"/>
    <w:rsid w:val="00203355"/>
    <w:rsid w:val="00211005"/>
    <w:rsid w:val="00213498"/>
    <w:rsid w:val="00217D41"/>
    <w:rsid w:val="00222CA6"/>
    <w:rsid w:val="00232642"/>
    <w:rsid w:val="00237697"/>
    <w:rsid w:val="00237896"/>
    <w:rsid w:val="002412A0"/>
    <w:rsid w:val="00250EDB"/>
    <w:rsid w:val="00256E10"/>
    <w:rsid w:val="00260413"/>
    <w:rsid w:val="00260EBC"/>
    <w:rsid w:val="00264710"/>
    <w:rsid w:val="00264717"/>
    <w:rsid w:val="00267567"/>
    <w:rsid w:val="00270B0A"/>
    <w:rsid w:val="00281FBE"/>
    <w:rsid w:val="0028263A"/>
    <w:rsid w:val="00287913"/>
    <w:rsid w:val="002902D2"/>
    <w:rsid w:val="00290D2E"/>
    <w:rsid w:val="00292715"/>
    <w:rsid w:val="002A3E4D"/>
    <w:rsid w:val="002A591C"/>
    <w:rsid w:val="002B4756"/>
    <w:rsid w:val="002C10E1"/>
    <w:rsid w:val="002C15EB"/>
    <w:rsid w:val="002C1660"/>
    <w:rsid w:val="002C35A2"/>
    <w:rsid w:val="002C5345"/>
    <w:rsid w:val="002C76D7"/>
    <w:rsid w:val="002D56B7"/>
    <w:rsid w:val="002E0BAD"/>
    <w:rsid w:val="002E314A"/>
    <w:rsid w:val="002F4A14"/>
    <w:rsid w:val="003043BF"/>
    <w:rsid w:val="00320073"/>
    <w:rsid w:val="003262DF"/>
    <w:rsid w:val="00327912"/>
    <w:rsid w:val="00336819"/>
    <w:rsid w:val="00347FD5"/>
    <w:rsid w:val="0036288F"/>
    <w:rsid w:val="00365840"/>
    <w:rsid w:val="00365B10"/>
    <w:rsid w:val="003662F1"/>
    <w:rsid w:val="00367BA7"/>
    <w:rsid w:val="003761C0"/>
    <w:rsid w:val="003812B2"/>
    <w:rsid w:val="00383CDB"/>
    <w:rsid w:val="00384F08"/>
    <w:rsid w:val="003879F9"/>
    <w:rsid w:val="00387D01"/>
    <w:rsid w:val="00387F13"/>
    <w:rsid w:val="003A035E"/>
    <w:rsid w:val="003B0285"/>
    <w:rsid w:val="003C11FA"/>
    <w:rsid w:val="003C7A1B"/>
    <w:rsid w:val="003E13CF"/>
    <w:rsid w:val="003F5344"/>
    <w:rsid w:val="003F7EDC"/>
    <w:rsid w:val="00404548"/>
    <w:rsid w:val="004103BC"/>
    <w:rsid w:val="0041162E"/>
    <w:rsid w:val="0042786D"/>
    <w:rsid w:val="00433C62"/>
    <w:rsid w:val="004410FA"/>
    <w:rsid w:val="00446782"/>
    <w:rsid w:val="00446BEC"/>
    <w:rsid w:val="00447450"/>
    <w:rsid w:val="004531BB"/>
    <w:rsid w:val="0047085B"/>
    <w:rsid w:val="00472EF5"/>
    <w:rsid w:val="00475635"/>
    <w:rsid w:val="0048687C"/>
    <w:rsid w:val="00487ACA"/>
    <w:rsid w:val="004A31B4"/>
    <w:rsid w:val="004C1922"/>
    <w:rsid w:val="004C462F"/>
    <w:rsid w:val="004D49E9"/>
    <w:rsid w:val="005071DA"/>
    <w:rsid w:val="00517925"/>
    <w:rsid w:val="00523D82"/>
    <w:rsid w:val="00533CF1"/>
    <w:rsid w:val="00541A00"/>
    <w:rsid w:val="00542561"/>
    <w:rsid w:val="005444B2"/>
    <w:rsid w:val="00546B87"/>
    <w:rsid w:val="00552F8B"/>
    <w:rsid w:val="00560EA8"/>
    <w:rsid w:val="00561FE7"/>
    <w:rsid w:val="00573107"/>
    <w:rsid w:val="00575348"/>
    <w:rsid w:val="005869C5"/>
    <w:rsid w:val="00590C5A"/>
    <w:rsid w:val="005A3C81"/>
    <w:rsid w:val="005A5680"/>
    <w:rsid w:val="005A65B3"/>
    <w:rsid w:val="005A6639"/>
    <w:rsid w:val="005A6914"/>
    <w:rsid w:val="005B3FFE"/>
    <w:rsid w:val="005C1519"/>
    <w:rsid w:val="005C1C4E"/>
    <w:rsid w:val="005C4A16"/>
    <w:rsid w:val="005C4B12"/>
    <w:rsid w:val="005D68C6"/>
    <w:rsid w:val="005D7EE3"/>
    <w:rsid w:val="005E50DE"/>
    <w:rsid w:val="005E67ED"/>
    <w:rsid w:val="005E6BD7"/>
    <w:rsid w:val="005F7097"/>
    <w:rsid w:val="0060364A"/>
    <w:rsid w:val="006126CA"/>
    <w:rsid w:val="00617843"/>
    <w:rsid w:val="00620F34"/>
    <w:rsid w:val="00624C1B"/>
    <w:rsid w:val="00625471"/>
    <w:rsid w:val="00627853"/>
    <w:rsid w:val="00634D0C"/>
    <w:rsid w:val="00652BCE"/>
    <w:rsid w:val="00652E29"/>
    <w:rsid w:val="00653617"/>
    <w:rsid w:val="006649A9"/>
    <w:rsid w:val="0067136B"/>
    <w:rsid w:val="006878A6"/>
    <w:rsid w:val="00691208"/>
    <w:rsid w:val="00693014"/>
    <w:rsid w:val="006A23C4"/>
    <w:rsid w:val="006A702E"/>
    <w:rsid w:val="006B30EC"/>
    <w:rsid w:val="006B7A90"/>
    <w:rsid w:val="006C5F38"/>
    <w:rsid w:val="006C6558"/>
    <w:rsid w:val="006D7D5A"/>
    <w:rsid w:val="006E4305"/>
    <w:rsid w:val="006F5763"/>
    <w:rsid w:val="00704BAB"/>
    <w:rsid w:val="007104D1"/>
    <w:rsid w:val="007135A6"/>
    <w:rsid w:val="007155C6"/>
    <w:rsid w:val="00732F32"/>
    <w:rsid w:val="0073361A"/>
    <w:rsid w:val="00733A73"/>
    <w:rsid w:val="00736B6C"/>
    <w:rsid w:val="00740914"/>
    <w:rsid w:val="00746FF2"/>
    <w:rsid w:val="00750189"/>
    <w:rsid w:val="00760EA1"/>
    <w:rsid w:val="00761133"/>
    <w:rsid w:val="00764E84"/>
    <w:rsid w:val="00774A31"/>
    <w:rsid w:val="007762F8"/>
    <w:rsid w:val="00783520"/>
    <w:rsid w:val="007A02D3"/>
    <w:rsid w:val="007A18B1"/>
    <w:rsid w:val="007C055A"/>
    <w:rsid w:val="007C1693"/>
    <w:rsid w:val="007D0E84"/>
    <w:rsid w:val="007D681B"/>
    <w:rsid w:val="007E1D85"/>
    <w:rsid w:val="007E2824"/>
    <w:rsid w:val="007E6EB4"/>
    <w:rsid w:val="007E702A"/>
    <w:rsid w:val="007F15BF"/>
    <w:rsid w:val="0081154A"/>
    <w:rsid w:val="00811D34"/>
    <w:rsid w:val="00820B36"/>
    <w:rsid w:val="00827BB2"/>
    <w:rsid w:val="008329DA"/>
    <w:rsid w:val="008330E7"/>
    <w:rsid w:val="008353A4"/>
    <w:rsid w:val="00844CE8"/>
    <w:rsid w:val="00847154"/>
    <w:rsid w:val="0086657B"/>
    <w:rsid w:val="00871F73"/>
    <w:rsid w:val="00872750"/>
    <w:rsid w:val="008832E5"/>
    <w:rsid w:val="00897669"/>
    <w:rsid w:val="008C0181"/>
    <w:rsid w:val="008C01B8"/>
    <w:rsid w:val="008C03B5"/>
    <w:rsid w:val="008C5667"/>
    <w:rsid w:val="008D4451"/>
    <w:rsid w:val="008D62B7"/>
    <w:rsid w:val="008E6895"/>
    <w:rsid w:val="00900B3C"/>
    <w:rsid w:val="00900BF1"/>
    <w:rsid w:val="00901F99"/>
    <w:rsid w:val="00904FB5"/>
    <w:rsid w:val="0091136C"/>
    <w:rsid w:val="009157ED"/>
    <w:rsid w:val="00930D7D"/>
    <w:rsid w:val="009470C4"/>
    <w:rsid w:val="0095047E"/>
    <w:rsid w:val="0095249D"/>
    <w:rsid w:val="00956101"/>
    <w:rsid w:val="00962CD6"/>
    <w:rsid w:val="00993A60"/>
    <w:rsid w:val="009976FF"/>
    <w:rsid w:val="009A4843"/>
    <w:rsid w:val="009B014E"/>
    <w:rsid w:val="009B42B3"/>
    <w:rsid w:val="009C18D6"/>
    <w:rsid w:val="009D71D5"/>
    <w:rsid w:val="009E2887"/>
    <w:rsid w:val="009E5CB9"/>
    <w:rsid w:val="009F31F2"/>
    <w:rsid w:val="009F45A5"/>
    <w:rsid w:val="00A01C2E"/>
    <w:rsid w:val="00A02BB2"/>
    <w:rsid w:val="00A04052"/>
    <w:rsid w:val="00A12563"/>
    <w:rsid w:val="00A40D76"/>
    <w:rsid w:val="00A8185B"/>
    <w:rsid w:val="00AA5E2F"/>
    <w:rsid w:val="00AA7317"/>
    <w:rsid w:val="00AB4B76"/>
    <w:rsid w:val="00AC20F4"/>
    <w:rsid w:val="00AC2C0B"/>
    <w:rsid w:val="00AC4905"/>
    <w:rsid w:val="00AD13B0"/>
    <w:rsid w:val="00AE6B73"/>
    <w:rsid w:val="00AE7922"/>
    <w:rsid w:val="00B01011"/>
    <w:rsid w:val="00B1191B"/>
    <w:rsid w:val="00B12ADF"/>
    <w:rsid w:val="00B26074"/>
    <w:rsid w:val="00B46F30"/>
    <w:rsid w:val="00B50587"/>
    <w:rsid w:val="00B608C1"/>
    <w:rsid w:val="00B60D3D"/>
    <w:rsid w:val="00B61D95"/>
    <w:rsid w:val="00B86153"/>
    <w:rsid w:val="00B9187F"/>
    <w:rsid w:val="00BA0536"/>
    <w:rsid w:val="00BB3050"/>
    <w:rsid w:val="00BB7831"/>
    <w:rsid w:val="00BC31BC"/>
    <w:rsid w:val="00BC3D0D"/>
    <w:rsid w:val="00BC6167"/>
    <w:rsid w:val="00BD5C28"/>
    <w:rsid w:val="00BE3071"/>
    <w:rsid w:val="00BE4435"/>
    <w:rsid w:val="00BE6B71"/>
    <w:rsid w:val="00BF0ECD"/>
    <w:rsid w:val="00C07BB3"/>
    <w:rsid w:val="00C2000E"/>
    <w:rsid w:val="00C379C9"/>
    <w:rsid w:val="00C4106C"/>
    <w:rsid w:val="00C422B8"/>
    <w:rsid w:val="00C566D6"/>
    <w:rsid w:val="00C839ED"/>
    <w:rsid w:val="00C84299"/>
    <w:rsid w:val="00C92F14"/>
    <w:rsid w:val="00C9308C"/>
    <w:rsid w:val="00C97365"/>
    <w:rsid w:val="00CC08BA"/>
    <w:rsid w:val="00CC330A"/>
    <w:rsid w:val="00CC5727"/>
    <w:rsid w:val="00CC7DBD"/>
    <w:rsid w:val="00CD0A17"/>
    <w:rsid w:val="00CD1248"/>
    <w:rsid w:val="00CD2ED1"/>
    <w:rsid w:val="00CD6734"/>
    <w:rsid w:val="00CF3849"/>
    <w:rsid w:val="00D0233C"/>
    <w:rsid w:val="00D066FC"/>
    <w:rsid w:val="00D11462"/>
    <w:rsid w:val="00D14D61"/>
    <w:rsid w:val="00D170E7"/>
    <w:rsid w:val="00D22A47"/>
    <w:rsid w:val="00D275FC"/>
    <w:rsid w:val="00D3576E"/>
    <w:rsid w:val="00D4047E"/>
    <w:rsid w:val="00D43297"/>
    <w:rsid w:val="00D44089"/>
    <w:rsid w:val="00D46B0B"/>
    <w:rsid w:val="00D55ED8"/>
    <w:rsid w:val="00D70DB6"/>
    <w:rsid w:val="00D76048"/>
    <w:rsid w:val="00D93C80"/>
    <w:rsid w:val="00D94EB4"/>
    <w:rsid w:val="00D96A8F"/>
    <w:rsid w:val="00DA0487"/>
    <w:rsid w:val="00DB406A"/>
    <w:rsid w:val="00DE1072"/>
    <w:rsid w:val="00DE742F"/>
    <w:rsid w:val="00DF11A7"/>
    <w:rsid w:val="00DF14CB"/>
    <w:rsid w:val="00E271CB"/>
    <w:rsid w:val="00E34FE3"/>
    <w:rsid w:val="00E43A8D"/>
    <w:rsid w:val="00E447E6"/>
    <w:rsid w:val="00E55D6C"/>
    <w:rsid w:val="00E57396"/>
    <w:rsid w:val="00E81A1B"/>
    <w:rsid w:val="00E81A86"/>
    <w:rsid w:val="00E8607B"/>
    <w:rsid w:val="00E91073"/>
    <w:rsid w:val="00E93583"/>
    <w:rsid w:val="00EA2F86"/>
    <w:rsid w:val="00EA6D39"/>
    <w:rsid w:val="00EB1D97"/>
    <w:rsid w:val="00EC4F28"/>
    <w:rsid w:val="00EF4C53"/>
    <w:rsid w:val="00F006F1"/>
    <w:rsid w:val="00F07B7B"/>
    <w:rsid w:val="00F104CA"/>
    <w:rsid w:val="00F15891"/>
    <w:rsid w:val="00F168C4"/>
    <w:rsid w:val="00F23B95"/>
    <w:rsid w:val="00F23BC2"/>
    <w:rsid w:val="00F40388"/>
    <w:rsid w:val="00F47590"/>
    <w:rsid w:val="00F63389"/>
    <w:rsid w:val="00F665C3"/>
    <w:rsid w:val="00F91977"/>
    <w:rsid w:val="00F97B57"/>
    <w:rsid w:val="00FA2175"/>
    <w:rsid w:val="00FA37CC"/>
    <w:rsid w:val="00FA4F7C"/>
    <w:rsid w:val="00FB0456"/>
    <w:rsid w:val="00FB421B"/>
    <w:rsid w:val="00FB47F4"/>
    <w:rsid w:val="00FB62C6"/>
    <w:rsid w:val="00FC0644"/>
    <w:rsid w:val="00FD2B12"/>
    <w:rsid w:val="00FD2B9F"/>
    <w:rsid w:val="00FD55A9"/>
    <w:rsid w:val="00FE566D"/>
    <w:rsid w:val="00FE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00B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5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Название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Normal1">
    <w:name w:val="Normal1"/>
    <w:rsid w:val="003C11FA"/>
    <w:rPr>
      <w:rFonts w:ascii="Times New Roman" w:eastAsia="Times New Roman" w:hAnsi="Times New Roman"/>
      <w:i/>
      <w:snapToGrid w:val="0"/>
    </w:rPr>
  </w:style>
  <w:style w:type="paragraph" w:styleId="21">
    <w:name w:val="Body Text 2"/>
    <w:basedOn w:val="a"/>
    <w:link w:val="22"/>
    <w:uiPriority w:val="99"/>
    <w:semiHidden/>
    <w:unhideWhenUsed/>
    <w:rsid w:val="003C11F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3C11FA"/>
    <w:rPr>
      <w:sz w:val="22"/>
      <w:szCs w:val="22"/>
      <w:lang w:eastAsia="en-US"/>
    </w:rPr>
  </w:style>
  <w:style w:type="character" w:customStyle="1" w:styleId="14">
    <w:name w:val="Неразрешенное упоминание1"/>
    <w:uiPriority w:val="99"/>
    <w:semiHidden/>
    <w:unhideWhenUsed/>
    <w:rsid w:val="003C11FA"/>
    <w:rPr>
      <w:color w:val="605E5C"/>
      <w:shd w:val="clear" w:color="auto" w:fill="E1DFDD"/>
    </w:rPr>
  </w:style>
  <w:style w:type="paragraph" w:customStyle="1" w:styleId="Style5">
    <w:name w:val="Style5"/>
    <w:basedOn w:val="a"/>
    <w:uiPriority w:val="99"/>
    <w:rsid w:val="00FE637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A65B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65840"/>
    <w:pPr>
      <w:spacing w:after="200"/>
    </w:pPr>
    <w:rPr>
      <w:rFonts w:ascii="Calibri" w:eastAsia="Calibri" w:hAnsi="Calibri" w:cs="Times New Roman"/>
      <w:b/>
      <w:bCs/>
      <w:lang w:val="ru-RU" w:eastAsia="en-US" w:bidi="ar-SA"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65840"/>
    <w:rPr>
      <w:rFonts w:ascii="Times New Roman" w:eastAsia="Times New Roman" w:hAnsi="Times New Roman" w:cs="Arial Unicode MS"/>
      <w:b/>
      <w:bCs/>
      <w:lang w:val="en-GB" w:eastAsia="en-US" w:bidi="ml-IN"/>
    </w:rPr>
  </w:style>
  <w:style w:type="character" w:customStyle="1" w:styleId="UnresolvedMention">
    <w:name w:val="Unresolved Mention"/>
    <w:basedOn w:val="a0"/>
    <w:uiPriority w:val="99"/>
    <w:semiHidden/>
    <w:unhideWhenUsed/>
    <w:rsid w:val="00347F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5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Название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Normal1">
    <w:name w:val="Normal1"/>
    <w:rsid w:val="003C11FA"/>
    <w:rPr>
      <w:rFonts w:ascii="Times New Roman" w:eastAsia="Times New Roman" w:hAnsi="Times New Roman"/>
      <w:i/>
      <w:snapToGrid w:val="0"/>
    </w:rPr>
  </w:style>
  <w:style w:type="paragraph" w:styleId="21">
    <w:name w:val="Body Text 2"/>
    <w:basedOn w:val="a"/>
    <w:link w:val="22"/>
    <w:uiPriority w:val="99"/>
    <w:semiHidden/>
    <w:unhideWhenUsed/>
    <w:rsid w:val="003C11F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3C11FA"/>
    <w:rPr>
      <w:sz w:val="22"/>
      <w:szCs w:val="22"/>
      <w:lang w:eastAsia="en-US"/>
    </w:rPr>
  </w:style>
  <w:style w:type="character" w:customStyle="1" w:styleId="14">
    <w:name w:val="Неразрешенное упоминание1"/>
    <w:uiPriority w:val="99"/>
    <w:semiHidden/>
    <w:unhideWhenUsed/>
    <w:rsid w:val="003C11FA"/>
    <w:rPr>
      <w:color w:val="605E5C"/>
      <w:shd w:val="clear" w:color="auto" w:fill="E1DFDD"/>
    </w:rPr>
  </w:style>
  <w:style w:type="paragraph" w:customStyle="1" w:styleId="Style5">
    <w:name w:val="Style5"/>
    <w:basedOn w:val="a"/>
    <w:uiPriority w:val="99"/>
    <w:rsid w:val="00FE637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A65B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65840"/>
    <w:pPr>
      <w:spacing w:after="200"/>
    </w:pPr>
    <w:rPr>
      <w:rFonts w:ascii="Calibri" w:eastAsia="Calibri" w:hAnsi="Calibri" w:cs="Times New Roman"/>
      <w:b/>
      <w:bCs/>
      <w:lang w:val="ru-RU" w:eastAsia="en-US" w:bidi="ar-SA"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65840"/>
    <w:rPr>
      <w:rFonts w:ascii="Times New Roman" w:eastAsia="Times New Roman" w:hAnsi="Times New Roman" w:cs="Arial Unicode MS"/>
      <w:b/>
      <w:bCs/>
      <w:lang w:val="en-GB" w:eastAsia="en-US" w:bidi="ml-IN"/>
    </w:rPr>
  </w:style>
  <w:style w:type="character" w:customStyle="1" w:styleId="UnresolvedMention">
    <w:name w:val="Unresolved Mention"/>
    <w:basedOn w:val="a0"/>
    <w:uiPriority w:val="99"/>
    <w:semiHidden/>
    <w:unhideWhenUsed/>
    <w:rsid w:val="00347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hv@kusum.k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nfo@kusum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usum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ndda.k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FA369-D67B-4556-8FEE-521ECA655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8716</Words>
  <Characters>49685</Characters>
  <Application>Microsoft Office Word</Application>
  <DocSecurity>0</DocSecurity>
  <Lines>414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58285</CharactersWithSpaces>
  <SharedDoc>false</SharedDoc>
  <HLinks>
    <vt:vector size="24" baseType="variant">
      <vt:variant>
        <vt:i4>7995468</vt:i4>
      </vt:variant>
      <vt:variant>
        <vt:i4>9</vt:i4>
      </vt:variant>
      <vt:variant>
        <vt:i4>0</vt:i4>
      </vt:variant>
      <vt:variant>
        <vt:i4>5</vt:i4>
      </vt:variant>
      <vt:variant>
        <vt:lpwstr>mailto:phv@kusum.kz</vt:lpwstr>
      </vt:variant>
      <vt:variant>
        <vt:lpwstr/>
      </vt:variant>
      <vt:variant>
        <vt:i4>7077981</vt:i4>
      </vt:variant>
      <vt:variant>
        <vt:i4>6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7077981</vt:i4>
      </vt:variant>
      <vt:variant>
        <vt:i4>3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12345</cp:lastModifiedBy>
  <cp:revision>3</cp:revision>
  <cp:lastPrinted>2019-11-07T05:04:00Z</cp:lastPrinted>
  <dcterms:created xsi:type="dcterms:W3CDTF">2024-07-29T05:16:00Z</dcterms:created>
  <dcterms:modified xsi:type="dcterms:W3CDTF">2024-07-29T05:19:00Z</dcterms:modified>
</cp:coreProperties>
</file>